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i/>
          <w:iCs/>
          <w:sz w:val="32"/>
          <w:szCs w:val="32"/>
          <w:lang w:val="en-GB" w:eastAsia="zh-CN"/>
        </w:rPr>
      </w:pPr>
      <w:bookmarkStart w:id="0" w:name="OLE_LINK5"/>
      <w:bookmarkStart w:id="1" w:name="OLE_LINK6"/>
      <w:r>
        <w:rPr>
          <w:rFonts w:ascii="Arial" w:hAnsi="Arial" w:eastAsia="宋体" w:cs="Times New Roman"/>
          <w:b/>
          <w:bCs/>
          <w:sz w:val="24"/>
          <w:szCs w:val="24"/>
          <w:lang w:val="en-GB"/>
        </w:rPr>
        <w:t>3GPP T</w:t>
      </w:r>
      <w:bookmarkStart w:id="2" w:name="_Ref452454252"/>
      <w:bookmarkEnd w:id="2"/>
      <w:r>
        <w:rPr>
          <w:rFonts w:ascii="Arial" w:hAnsi="Arial" w:eastAsia="宋体" w:cs="Times New Roman"/>
          <w:b/>
          <w:bCs/>
          <w:sz w:val="24"/>
          <w:szCs w:val="24"/>
          <w:lang w:val="en-GB"/>
        </w:rPr>
        <w:t>SG-RAN WG4 Meeting #92</w:t>
      </w:r>
      <w:r>
        <w:rPr>
          <w:rFonts w:hint="eastAsia" w:ascii="Arial" w:hAnsi="Arial" w:eastAsia="宋体" w:cs="Times New Roman"/>
          <w:b/>
          <w:bCs/>
          <w:sz w:val="24"/>
          <w:szCs w:val="24"/>
          <w:lang w:val="en-US" w:eastAsia="zh-CN"/>
        </w:rPr>
        <w:t>bis</w:t>
      </w:r>
      <w:r>
        <w:rPr>
          <w:rFonts w:ascii="Arial" w:hAnsi="Arial" w:eastAsia="宋体" w:cs="Times New Roman"/>
          <w:b/>
          <w:bCs/>
          <w:sz w:val="24"/>
          <w:szCs w:val="24"/>
          <w:lang w:val="en-GB"/>
        </w:rPr>
        <w:t xml:space="preserve">                </w:t>
      </w:r>
      <w:r>
        <w:rPr>
          <w:rFonts w:ascii="Arial" w:hAnsi="Arial" w:eastAsia="宋体" w:cs="Times New Roman"/>
          <w:b/>
          <w:bCs/>
          <w:sz w:val="24"/>
          <w:szCs w:val="20"/>
          <w:lang w:val="en-GB"/>
        </w:rPr>
        <w:tab/>
      </w:r>
      <w:r>
        <w:rPr>
          <w:rFonts w:ascii="Arial" w:hAnsi="Arial" w:eastAsia="宋体" w:cs="Times New Roman"/>
          <w:b/>
          <w:bCs/>
          <w:sz w:val="24"/>
          <w:szCs w:val="24"/>
          <w:lang w:val="en-GB" w:eastAsia="ja-JP"/>
        </w:rPr>
        <w:t>R4-</w:t>
      </w:r>
      <w:r>
        <w:rPr>
          <w:rFonts w:ascii="Arial" w:hAnsi="Arial" w:eastAsia="宋体" w:cs="Times New Roman"/>
          <w:b/>
          <w:bCs/>
          <w:sz w:val="24"/>
          <w:szCs w:val="24"/>
          <w:lang w:val="en-GB" w:eastAsia="zh-CN"/>
        </w:rPr>
        <w:t>19</w:t>
      </w:r>
      <w:r>
        <w:rPr>
          <w:rFonts w:hint="eastAsia" w:ascii="Arial" w:hAnsi="Arial" w:eastAsia="宋体" w:cs="Times New Roman"/>
          <w:b/>
          <w:bCs/>
          <w:sz w:val="24"/>
          <w:szCs w:val="24"/>
          <w:lang w:val="en-GB" w:eastAsia="zh-CN"/>
        </w:rPr>
        <w:t>11072</w:t>
      </w:r>
      <w:bookmarkStart w:id="5" w:name="_GoBack"/>
      <w:bookmarkEnd w:id="5"/>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hint="eastAsia" w:ascii="Arial" w:hAnsi="Arial" w:eastAsia="宋体" w:cs="Times New Roman"/>
          <w:b/>
          <w:bCs/>
          <w:sz w:val="24"/>
          <w:szCs w:val="24"/>
          <w:lang w:val="en-US" w:eastAsia="zh-CN"/>
        </w:rPr>
        <w:t>Chongqing</w:t>
      </w:r>
      <w:r>
        <w:rPr>
          <w:rFonts w:ascii="Arial" w:hAnsi="Arial" w:eastAsia="宋体" w:cs="Times New Roman"/>
          <w:b/>
          <w:bCs/>
          <w:sz w:val="24"/>
          <w:szCs w:val="24"/>
          <w:lang w:val="en-GB"/>
        </w:rPr>
        <w:t xml:space="preserve">, </w:t>
      </w:r>
      <w:r>
        <w:rPr>
          <w:rFonts w:hint="eastAsia" w:ascii="Arial" w:hAnsi="Arial" w:eastAsia="宋体" w:cs="Times New Roman"/>
          <w:b/>
          <w:bCs/>
          <w:sz w:val="24"/>
          <w:szCs w:val="24"/>
          <w:lang w:val="en-US" w:eastAsia="zh-CN"/>
        </w:rPr>
        <w:t>China</w:t>
      </w:r>
      <w:r>
        <w:rPr>
          <w:rFonts w:ascii="Arial" w:hAnsi="Arial" w:eastAsia="宋体" w:cs="Times New Roman"/>
          <w:b/>
          <w:bCs/>
          <w:sz w:val="24"/>
          <w:szCs w:val="24"/>
          <w:lang w:val="en-GB"/>
        </w:rPr>
        <w:t xml:space="preserve">, </w:t>
      </w:r>
      <w:r>
        <w:rPr>
          <w:rFonts w:hint="eastAsia" w:ascii="Arial" w:hAnsi="Arial" w:eastAsia="宋体" w:cs="Times New Roman"/>
          <w:b/>
          <w:bCs/>
          <w:sz w:val="24"/>
          <w:szCs w:val="24"/>
          <w:lang w:val="en-US" w:eastAsia="zh-CN"/>
        </w:rPr>
        <w:t>October</w:t>
      </w:r>
      <w:r>
        <w:rPr>
          <w:rFonts w:ascii="Arial" w:hAnsi="Arial" w:eastAsia="宋体" w:cs="Times New Roman"/>
          <w:b/>
          <w:bCs/>
          <w:sz w:val="24"/>
          <w:szCs w:val="24"/>
          <w:lang w:val="en-GB"/>
        </w:rPr>
        <w:t xml:space="preserve"> </w:t>
      </w:r>
      <w:r>
        <w:rPr>
          <w:rFonts w:hint="eastAsia" w:ascii="Arial" w:hAnsi="Arial" w:eastAsia="宋体" w:cs="Times New Roman"/>
          <w:b/>
          <w:bCs/>
          <w:sz w:val="24"/>
          <w:szCs w:val="24"/>
          <w:lang w:val="en-US" w:eastAsia="zh-CN"/>
        </w:rPr>
        <w:t>14</w:t>
      </w:r>
      <w:r>
        <w:rPr>
          <w:rFonts w:ascii="Arial" w:hAnsi="Arial" w:eastAsia="宋体" w:cs="Times New Roman"/>
          <w:b/>
          <w:bCs/>
          <w:sz w:val="24"/>
          <w:szCs w:val="24"/>
          <w:vertAlign w:val="superscript"/>
          <w:lang w:val="en-GB"/>
        </w:rPr>
        <w:t>th</w:t>
      </w:r>
      <w:r>
        <w:rPr>
          <w:rFonts w:ascii="Arial" w:hAnsi="Arial" w:eastAsia="宋体" w:cs="Times New Roman"/>
          <w:b/>
          <w:bCs/>
          <w:sz w:val="24"/>
          <w:szCs w:val="24"/>
          <w:lang w:val="en-GB"/>
        </w:rPr>
        <w:t xml:space="preserve">– </w:t>
      </w:r>
      <w:r>
        <w:rPr>
          <w:rFonts w:hint="eastAsia" w:ascii="Arial" w:hAnsi="Arial" w:eastAsia="宋体" w:cs="Times New Roman"/>
          <w:b/>
          <w:bCs/>
          <w:sz w:val="24"/>
          <w:szCs w:val="24"/>
          <w:lang w:val="en-US" w:eastAsia="zh-CN"/>
        </w:rPr>
        <w:t>18</w:t>
      </w:r>
      <w:r>
        <w:rPr>
          <w:rFonts w:ascii="Arial" w:hAnsi="Arial" w:eastAsia="宋体" w:cs="Times New Roman"/>
          <w:b/>
          <w:bCs/>
          <w:sz w:val="24"/>
          <w:szCs w:val="24"/>
          <w:vertAlign w:val="superscript"/>
          <w:lang w:val="en-GB"/>
        </w:rPr>
        <w:t>th</w:t>
      </w:r>
      <w:r>
        <w:rPr>
          <w:rFonts w:ascii="Arial" w:hAnsi="Arial" w:eastAsia="宋体" w:cs="Times New Roman"/>
          <w:b/>
          <w:bCs/>
          <w:sz w:val="24"/>
          <w:szCs w:val="24"/>
          <w:lang w:val="en-GB"/>
        </w:rPr>
        <w:t xml:space="preserve"> </w:t>
      </w:r>
      <w:r>
        <w:rPr>
          <w:rFonts w:ascii="Arial" w:hAnsi="Arial" w:eastAsia="宋体" w:cs="Times New Roman"/>
          <w:b/>
          <w:bCs/>
          <w:sz w:val="24"/>
          <w:szCs w:val="24"/>
          <w:lang w:eastAsia="zh-CN"/>
        </w:rPr>
        <w:t>2019</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3" w:name="_Hlk7778829"/>
      <w:r>
        <w:rPr>
          <w:rFonts w:hint="eastAsia" w:ascii="Arial" w:hAnsi="Arial" w:eastAsia="Calibri" w:cs="Arial"/>
          <w:b/>
          <w:bCs/>
          <w:sz w:val="24"/>
          <w:lang w:val="en-GB"/>
        </w:rPr>
        <w:t>Discussion on uplink transmission timing in NR-U</w:t>
      </w:r>
      <w:r>
        <w:rPr>
          <w:rFonts w:ascii="Arial" w:hAnsi="Arial" w:eastAsia="Calibri" w:cs="Arial"/>
          <w:b/>
          <w:bCs/>
          <w:sz w:val="24"/>
          <w:lang w:val="en-GB"/>
        </w:rPr>
        <w:t xml:space="preserve"> </w:t>
      </w:r>
      <w:bookmarkEnd w:id="3"/>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8.1.4.12</w:t>
      </w:r>
    </w:p>
    <w:p>
      <w:pPr>
        <w:tabs>
          <w:tab w:val="left" w:pos="1985"/>
        </w:tabs>
        <w:jc w:val="both"/>
        <w:rPr>
          <w:rFonts w:ascii="Arial" w:hAnsi="Arial" w:eastAsia="Calibri" w:cs="Arial"/>
          <w:b/>
          <w:bCs/>
          <w:sz w:val="24"/>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29"/>
        </w:rPr>
        <w:t>ductio</w:t>
      </w:r>
      <w:r>
        <w:rPr>
          <w:rFonts w:ascii="Arial" w:hAnsi="Arial" w:eastAsia="宋体" w:cs="Times New Roman"/>
          <w:sz w:val="36"/>
          <w:szCs w:val="20"/>
          <w:lang w:val="en-GB"/>
        </w:rPr>
        <w:t>n</w:t>
      </w:r>
    </w:p>
    <w:p>
      <w:pPr>
        <w:rPr>
          <w:rFonts w:hint="eastAsia" w:eastAsia="宋体"/>
          <w:sz w:val="20"/>
          <w:lang w:val="en-US" w:eastAsia="zh-CN"/>
        </w:rPr>
      </w:pPr>
      <w:r>
        <w:rPr>
          <w:rFonts w:hint="eastAsia" w:eastAsia="宋体" w:cs="Times New Roman"/>
          <w:szCs w:val="20"/>
          <w:lang w:val="en-US" w:eastAsia="zh-CN"/>
        </w:rPr>
        <w:t>NR based access to unlicensed spectrum (NR-U) has been studied in 3GPP [1], and new issues have arisen because of t</w:t>
      </w:r>
      <w:r>
        <w:rPr>
          <w:rFonts w:hint="eastAsia" w:eastAsia="宋体"/>
          <w:sz w:val="20"/>
          <w:lang w:val="en-US" w:eastAsia="zh-CN"/>
        </w:rPr>
        <w:t>he listen-before-talk requirement (LBT) in unlicensed bands. In [2], the issue of uplink transmit timing was brought up upon which several possible options were proposed.</w:t>
      </w:r>
    </w:p>
    <w:p>
      <w:pPr>
        <w:rPr>
          <w:rFonts w:hint="default" w:eastAsia="宋体"/>
          <w:sz w:val="20"/>
          <w:lang w:val="en-US" w:eastAsia="zh-CN"/>
        </w:rPr>
      </w:pPr>
      <w:r>
        <w:rPr>
          <w:rFonts w:hint="eastAsia" w:eastAsia="宋体"/>
          <w:sz w:val="20"/>
          <w:lang w:val="en-US" w:eastAsia="zh-CN"/>
        </w:rPr>
        <w:t>In this paper, we discuss the UE uplink timing requirement in NR-U.</w:t>
      </w:r>
    </w:p>
    <w:p>
      <w:pPr>
        <w:pStyle w:val="26"/>
        <w:jc w:val="both"/>
        <w:rPr>
          <w:rFonts w:hint="default" w:eastAsia="宋体"/>
          <w:lang w:val="en-US" w:eastAsia="zh-CN"/>
        </w:rPr>
      </w:pPr>
      <w:r>
        <w:t>2</w:t>
      </w:r>
      <w:r>
        <w:tab/>
      </w:r>
      <w:r>
        <w:rPr>
          <w:rFonts w:hint="eastAsia"/>
          <w:lang w:val="en-US" w:eastAsia="zh-CN"/>
        </w:rPr>
        <w:t>UE uplink transmit timing in NR-U</w:t>
      </w:r>
    </w:p>
    <w:p>
      <w:pPr>
        <w:ind w:right="-22"/>
        <w:rPr>
          <w:rFonts w:hint="default" w:eastAsia="宋体" w:cs="Times New Roman"/>
          <w:szCs w:val="20"/>
          <w:lang w:val="en-US" w:eastAsia="zh-CN"/>
        </w:rPr>
      </w:pPr>
      <w:r>
        <w:rPr>
          <w:rFonts w:hint="eastAsia" w:eastAsia="宋体" w:cs="Times New Roman"/>
          <w:szCs w:val="20"/>
          <w:lang w:val="en-US" w:eastAsia="zh-CN"/>
        </w:rPr>
        <w:t>Section 7.1 in TS 38.133 R16 [3] includes the following text:</w:t>
      </w:r>
    </w:p>
    <w:p>
      <w:pPr>
        <w:rPr>
          <w:rFonts w:cs="v4.2.0"/>
          <w:i/>
          <w:iCs/>
        </w:rPr>
      </w:pPr>
      <w:r>
        <w:rPr>
          <w:rFonts w:cs="v4.2.0"/>
          <w:i/>
          <w:iCs/>
        </w:rPr>
        <w:t xml:space="preserve">The UE initial transmission timing error shall be less than or equal to </w:t>
      </w:r>
      <w:r>
        <w:rPr>
          <w:rFonts w:cs="v4.2.0"/>
          <w:i/>
          <w:iCs/>
        </w:rPr>
        <w:sym w:font="Symbol" w:char="F0B1"/>
      </w:r>
      <w:r>
        <w:rPr>
          <w:rFonts w:cs="v4.2.0"/>
          <w:i/>
          <w:iCs/>
        </w:rPr>
        <w:t>T</w:t>
      </w:r>
      <w:r>
        <w:rPr>
          <w:rFonts w:cs="v4.2.0"/>
          <w:i/>
          <w:iCs/>
          <w:vertAlign w:val="subscript"/>
        </w:rPr>
        <w:t>e</w:t>
      </w:r>
      <w:r>
        <w:rPr>
          <w:i/>
          <w:iCs/>
        </w:rPr>
        <w:t xml:space="preserve"> where the timing error limit value </w:t>
      </w:r>
      <w:r>
        <w:rPr>
          <w:rFonts w:cs="v4.2.0"/>
          <w:i/>
          <w:iCs/>
        </w:rPr>
        <w:t>T</w:t>
      </w:r>
      <w:r>
        <w:rPr>
          <w:rFonts w:cs="v4.2.0"/>
          <w:i/>
          <w:iCs/>
          <w:vertAlign w:val="subscript"/>
        </w:rPr>
        <w:t>e</w:t>
      </w:r>
      <w:r>
        <w:rPr>
          <w:i/>
          <w:iCs/>
        </w:rPr>
        <w:t xml:space="preserve"> is specified in Table 7.1.2-1</w:t>
      </w:r>
      <w:r>
        <w:rPr>
          <w:rFonts w:cs="v4.2.0"/>
          <w:i/>
          <w:iCs/>
        </w:rPr>
        <w:t>. This requirement applies:</w:t>
      </w:r>
    </w:p>
    <w:p>
      <w:pPr>
        <w:ind w:left="568" w:hanging="284"/>
        <w:rPr>
          <w:i/>
          <w:iCs/>
        </w:rPr>
      </w:pPr>
      <w:r>
        <w:rPr>
          <w:i/>
          <w:iCs/>
          <w:lang w:eastAsia="ko-KR"/>
        </w:rPr>
        <w:t>-</w:t>
      </w:r>
      <w:r>
        <w:rPr>
          <w:i/>
          <w:iCs/>
          <w:lang w:eastAsia="ko-KR"/>
        </w:rPr>
        <w:tab/>
      </w:r>
      <w:r>
        <w:rPr>
          <w:i/>
          <w:iCs/>
        </w:rPr>
        <w:t>when it is the first transmission in a DRX cycle for PUCCH, PUSCH and SRS or it is the PRACH transmission.</w:t>
      </w:r>
    </w:p>
    <w:p>
      <w:pPr>
        <w:rPr>
          <w:rFonts w:cs="v4.2.0"/>
          <w:i/>
          <w:iCs/>
        </w:rPr>
      </w:pPr>
      <w:r>
        <w:rPr>
          <w:rFonts w:cs="v4.2.0"/>
          <w:i/>
          <w:iCs/>
          <w:highlight w:val="yellow"/>
        </w:rPr>
        <w:t>The UE shall meet the Te requirement for an initial transmission provided that at least one SSB is available at the UE during the last 160 ms.</w:t>
      </w:r>
      <w:r>
        <w:rPr>
          <w:rFonts w:cs="v4.2.0"/>
          <w:i/>
          <w:iCs/>
        </w:rPr>
        <w:t xml:space="preserve"> The reference point for the UE initial transmit timing control requirement shall be the downlink timing of the reference cell minus </w:t>
      </w:r>
      <w:r>
        <w:rPr>
          <w:i/>
          <w:iCs/>
          <w:position w:val="-10"/>
          <w:lang w:val="en-US" w:eastAsia="zh-CN"/>
        </w:rPr>
        <w:drawing>
          <wp:inline distT="0" distB="0" distL="0" distR="0">
            <wp:extent cx="1145540" cy="187960"/>
            <wp:effectExtent l="0" t="0" r="16510" b="1905"/>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i/>
          <w:iCs/>
        </w:rPr>
        <w:t xml:space="preserve">. The downlink timing is defined as the time when the first detected path (in time) of the corresponding downlink frame is received </w:t>
      </w:r>
      <w:r>
        <w:rPr>
          <w:i/>
          <w:iCs/>
        </w:rPr>
        <w:t xml:space="preserve">from the reference cell. </w:t>
      </w:r>
      <w:r>
        <w:rPr>
          <w:rFonts w:cs="v4.2.0"/>
          <w:i/>
          <w:iCs/>
        </w:rPr>
        <w:t>N</w:t>
      </w:r>
      <w:r>
        <w:rPr>
          <w:rFonts w:cs="v4.2.0"/>
          <w:i/>
          <w:iCs/>
          <w:vertAlign w:val="subscript"/>
        </w:rPr>
        <w:t>TA</w:t>
      </w:r>
      <w:r>
        <w:rPr>
          <w:rFonts w:cs="v4.2.0"/>
          <w:i/>
          <w:iCs/>
        </w:rPr>
        <w:t xml:space="preserve"> for PRACH is defined as 0.</w:t>
      </w:r>
    </w:p>
    <w:p>
      <w:pPr>
        <w:ind w:right="-22"/>
        <w:rPr>
          <w:rFonts w:hint="default" w:eastAsia="宋体" w:cs="v4.2.0"/>
          <w:i w:val="0"/>
          <w:iCs w:val="0"/>
          <w:highlight w:val="none"/>
          <w:lang w:val="en-US" w:eastAsia="zh-CN"/>
        </w:rPr>
      </w:pPr>
      <w:r>
        <w:rPr>
          <w:rFonts w:hint="eastAsia" w:eastAsia="宋体" w:cs="Times New Roman"/>
          <w:szCs w:val="20"/>
          <w:lang w:val="en-US" w:eastAsia="zh-CN"/>
        </w:rPr>
        <w:t xml:space="preserve">The current description in R16 is clear that the requirements on UE uplink timing accuracy only applies </w:t>
      </w:r>
      <w:r>
        <w:rPr>
          <w:rFonts w:cs="v4.2.0"/>
          <w:i w:val="0"/>
          <w:iCs w:val="0"/>
          <w:highlight w:val="none"/>
        </w:rPr>
        <w:t>provided that at least one SSB is available at the UE during the last 160 ms.</w:t>
      </w:r>
      <w:r>
        <w:rPr>
          <w:rFonts w:hint="eastAsia" w:eastAsia="宋体" w:cs="v4.2.0"/>
          <w:i w:val="0"/>
          <w:iCs w:val="0"/>
          <w:highlight w:val="none"/>
          <w:lang w:val="en-US" w:eastAsia="zh-CN"/>
        </w:rPr>
        <w:t xml:space="preserve"> In NR-U, since the UE would utilize spectra which also host other RATs, the probability of this side condition being met is relatively lower than NR in licensed bands given other conditions are the same.</w:t>
      </w:r>
    </w:p>
    <w:p>
      <w:pPr>
        <w:pStyle w:val="38"/>
        <w:rPr>
          <w:rFonts w:hint="default" w:eastAsia="宋体"/>
          <w:lang w:val="en-US" w:eastAsia="zh-CN"/>
        </w:rPr>
      </w:pPr>
      <w:r>
        <w:rPr>
          <w:rFonts w:hint="eastAsia" w:eastAsia="宋体" w:cs="v4.2.0"/>
          <w:i w:val="0"/>
          <w:iCs w:val="0"/>
          <w:highlight w:val="none"/>
          <w:lang w:val="en-US" w:eastAsia="zh-CN"/>
        </w:rPr>
        <w:t xml:space="preserve">In NR-U, the probability that </w:t>
      </w:r>
      <w:r>
        <w:rPr>
          <w:rFonts w:cs="v4.2.0"/>
          <w:i w:val="0"/>
          <w:iCs w:val="0"/>
          <w:highlight w:val="none"/>
        </w:rPr>
        <w:t>at least one SSB is available at the UE during the last 160 ms</w:t>
      </w:r>
      <w:r>
        <w:rPr>
          <w:rFonts w:hint="eastAsia" w:eastAsia="宋体" w:cs="v4.2.0"/>
          <w:i w:val="0"/>
          <w:iCs w:val="0"/>
          <w:highlight w:val="none"/>
          <w:lang w:val="en-US" w:eastAsia="zh-CN"/>
        </w:rPr>
        <w:t xml:space="preserve"> is lower than NR in licensed band given the other conditions are the same.</w:t>
      </w:r>
    </w:p>
    <w:p>
      <w:pPr>
        <w:keepLines/>
        <w:overflowPunct w:val="0"/>
        <w:autoSpaceDE w:val="0"/>
        <w:autoSpaceDN w:val="0"/>
        <w:adjustRightInd w:val="0"/>
        <w:spacing w:after="180"/>
        <w:textAlignment w:val="baseline"/>
        <w:rPr>
          <w:rFonts w:hint="eastAsia" w:eastAsia="宋体"/>
          <w:lang w:val="en-US" w:eastAsia="zh-CN"/>
        </w:rPr>
      </w:pPr>
      <w:r>
        <w:rPr>
          <w:rFonts w:hint="eastAsia" w:eastAsia="宋体"/>
          <w:lang w:val="en-US" w:eastAsia="zh-CN"/>
        </w:rPr>
        <w:t>Based on Observation 1, it</w:t>
      </w:r>
      <w:r>
        <w:rPr>
          <w:rFonts w:hint="default" w:eastAsia="宋体"/>
          <w:lang w:val="en-US" w:eastAsia="zh-CN"/>
        </w:rPr>
        <w:t>’</w:t>
      </w:r>
      <w:r>
        <w:rPr>
          <w:rFonts w:hint="eastAsia" w:eastAsia="宋体"/>
          <w:lang w:val="en-US" w:eastAsia="zh-CN"/>
        </w:rPr>
        <w:t>s clear that new uplink timing accuracy requirements need to be mandated to guarantee the system performance. Since due to operating in unlicensed bands, the channel might be more heavily loaded than operating in licensed bands, the timing accuracy requirements need to be relaxed accordingly. Similar to option 1 in [2], we propose to set different uplink timing accuracy requirements depending on the availability of SSB. Assume the SSB is available during the last X ms, and X is a multiple of 160 by integers. When X = k*160, the corresponding uplink transmission timing error should be bounded by Te</w:t>
      </w:r>
      <w:r>
        <w:rPr>
          <w:rFonts w:hint="eastAsia" w:eastAsia="宋体"/>
          <w:vertAlign w:val="subscript"/>
          <w:lang w:val="en-US" w:eastAsia="zh-CN"/>
        </w:rPr>
        <w:t>k</w:t>
      </w:r>
      <w:r>
        <w:rPr>
          <w:rFonts w:hint="eastAsia" w:eastAsia="宋体"/>
          <w:lang w:val="en-US" w:eastAsia="zh-CN"/>
        </w:rPr>
        <w:t>. The relationship between X and uplink transmission timing error limit Te</w:t>
      </w:r>
      <w:r>
        <w:rPr>
          <w:rFonts w:hint="eastAsia" w:eastAsia="宋体"/>
          <w:vertAlign w:val="subscript"/>
          <w:lang w:val="en-US" w:eastAsia="zh-CN"/>
        </w:rPr>
        <w:t>k</w:t>
      </w:r>
      <w:r>
        <w:rPr>
          <w:rFonts w:hint="eastAsia" w:eastAsia="宋体"/>
          <w:lang w:val="en-US" w:eastAsia="zh-CN"/>
        </w:rPr>
        <w:t xml:space="preserve"> may look like the following:</w:t>
      </w:r>
    </w:p>
    <w:p>
      <w:pPr>
        <w:pStyle w:val="24"/>
      </w:pPr>
    </w:p>
    <w:tbl>
      <w:tblPr>
        <w:tblStyle w:val="21"/>
        <w:tblW w:w="8901" w:type="dxa"/>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6"/>
        <w:gridCol w:w="2329"/>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886" w:type="dxa"/>
          </w:tcPr>
          <w:p>
            <w:pPr>
              <w:pStyle w:val="24"/>
              <w:ind w:left="0"/>
              <w:rPr>
                <w:rFonts w:hint="default" w:eastAsia="宋体"/>
                <w:lang w:val="en-US" w:eastAsia="zh-CN"/>
              </w:rPr>
            </w:pPr>
            <w:r>
              <w:t>X</w:t>
            </w:r>
          </w:p>
        </w:tc>
        <w:tc>
          <w:tcPr>
            <w:tcW w:w="2329" w:type="dxa"/>
          </w:tcPr>
          <w:p>
            <w:pPr>
              <w:pStyle w:val="24"/>
              <w:ind w:left="0"/>
            </w:pPr>
            <w:r>
              <w:t>UL transmission timing error</w:t>
            </w:r>
          </w:p>
        </w:tc>
        <w:tc>
          <w:tcPr>
            <w:tcW w:w="3686" w:type="dxa"/>
          </w:tcPr>
          <w:p>
            <w:pPr>
              <w:pStyle w:val="24"/>
              <w:ind w:left="0"/>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86" w:type="dxa"/>
          </w:tcPr>
          <w:p>
            <w:pPr>
              <w:pStyle w:val="24"/>
              <w:ind w:left="0"/>
            </w:pPr>
            <w:r>
              <w:t>160</w:t>
            </w:r>
          </w:p>
        </w:tc>
        <w:tc>
          <w:tcPr>
            <w:tcW w:w="2329" w:type="dxa"/>
          </w:tcPr>
          <w:p>
            <w:pPr>
              <w:pStyle w:val="24"/>
              <w:ind w:left="0"/>
            </w:pPr>
            <w:r>
              <w:t>Te</w:t>
            </w:r>
            <w:r>
              <w:rPr>
                <w:vertAlign w:val="subscript"/>
              </w:rPr>
              <w:t xml:space="preserve">1 </w:t>
            </w:r>
          </w:p>
        </w:tc>
        <w:tc>
          <w:tcPr>
            <w:tcW w:w="3686" w:type="dxa"/>
          </w:tcPr>
          <w:p>
            <w:pPr>
              <w:pStyle w:val="24"/>
              <w:ind w:left="0"/>
            </w:pPr>
            <w:r>
              <w:t>Same as Te, as defined in table 7.1.2-1 of 38.133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86" w:type="dxa"/>
          </w:tcPr>
          <w:p>
            <w:pPr>
              <w:pStyle w:val="24"/>
              <w:ind w:left="0"/>
            </w:pPr>
            <w:r>
              <w:t>320</w:t>
            </w:r>
          </w:p>
        </w:tc>
        <w:tc>
          <w:tcPr>
            <w:tcW w:w="2329" w:type="dxa"/>
          </w:tcPr>
          <w:p>
            <w:pPr>
              <w:pStyle w:val="24"/>
              <w:ind w:left="0"/>
            </w:pPr>
            <w:r>
              <w:t>Te</w:t>
            </w:r>
            <w:r>
              <w:rPr>
                <w:vertAlign w:val="subscript"/>
              </w:rPr>
              <w:t>2</w:t>
            </w:r>
          </w:p>
        </w:tc>
        <w:tc>
          <w:tcPr>
            <w:tcW w:w="3686" w:type="dxa"/>
          </w:tcPr>
          <w:p>
            <w:pPr>
              <w:pStyle w:val="24"/>
              <w:ind w:left="0"/>
            </w:pPr>
            <w:r>
              <w:t>More relaxed than Te</w:t>
            </w:r>
            <w:r>
              <w:rPr>
                <w:vertAlign w:val="sub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86" w:type="dxa"/>
          </w:tcPr>
          <w:p>
            <w:pPr>
              <w:pStyle w:val="24"/>
              <w:ind w:left="0"/>
              <w:rPr>
                <w:rFonts w:hint="default" w:eastAsia="宋体"/>
                <w:lang w:val="en-US" w:eastAsia="zh-CN"/>
              </w:rPr>
            </w:pPr>
            <w:r>
              <w:rPr>
                <w:rFonts w:hint="eastAsia" w:eastAsia="宋体"/>
                <w:lang w:val="en-US" w:eastAsia="zh-CN"/>
              </w:rPr>
              <w:t>480</w:t>
            </w:r>
          </w:p>
        </w:tc>
        <w:tc>
          <w:tcPr>
            <w:tcW w:w="2329" w:type="dxa"/>
          </w:tcPr>
          <w:p>
            <w:pPr>
              <w:pStyle w:val="24"/>
              <w:ind w:left="0"/>
            </w:pPr>
            <w:r>
              <w:t>Te</w:t>
            </w:r>
            <w:r>
              <w:rPr>
                <w:vertAlign w:val="subscript"/>
              </w:rPr>
              <w:t>3</w:t>
            </w:r>
          </w:p>
        </w:tc>
        <w:tc>
          <w:tcPr>
            <w:tcW w:w="3686" w:type="dxa"/>
          </w:tcPr>
          <w:p>
            <w:pPr>
              <w:pStyle w:val="24"/>
              <w:ind w:left="0"/>
            </w:pPr>
            <w:r>
              <w:t>More relaxed than Te</w:t>
            </w:r>
            <w:r>
              <w:rPr>
                <w:vertAlign w:val="sub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86" w:type="dxa"/>
          </w:tcPr>
          <w:p>
            <w:pPr>
              <w:pStyle w:val="24"/>
              <w:ind w:left="0"/>
            </w:pPr>
            <w:r>
              <w:t>…</w:t>
            </w:r>
          </w:p>
        </w:tc>
        <w:tc>
          <w:tcPr>
            <w:tcW w:w="2329" w:type="dxa"/>
          </w:tcPr>
          <w:p>
            <w:pPr>
              <w:pStyle w:val="24"/>
              <w:ind w:left="0"/>
            </w:pPr>
            <w:r>
              <w:t>…</w:t>
            </w:r>
          </w:p>
        </w:tc>
        <w:tc>
          <w:tcPr>
            <w:tcW w:w="3686" w:type="dxa"/>
          </w:tcPr>
          <w:p>
            <w:pPr>
              <w:pStyle w:val="24"/>
              <w:ind w:left="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886" w:type="dxa"/>
          </w:tcPr>
          <w:p>
            <w:pPr>
              <w:pStyle w:val="24"/>
              <w:ind w:left="0"/>
              <w:rPr>
                <w:rFonts w:hint="default" w:eastAsia="宋体"/>
                <w:lang w:val="en-US" w:eastAsia="zh-CN"/>
              </w:rPr>
            </w:pPr>
            <w:r>
              <w:rPr>
                <w:rFonts w:hint="eastAsia" w:eastAsia="宋体"/>
                <w:lang w:val="en-US" w:eastAsia="zh-CN"/>
              </w:rPr>
              <w:t>k_max * 160</w:t>
            </w:r>
          </w:p>
        </w:tc>
        <w:tc>
          <w:tcPr>
            <w:tcW w:w="2329" w:type="dxa"/>
          </w:tcPr>
          <w:p>
            <w:pPr>
              <w:pStyle w:val="24"/>
              <w:ind w:left="0"/>
              <w:rPr>
                <w:rFonts w:hint="default" w:eastAsia="宋体"/>
                <w:lang w:val="en-US" w:eastAsia="zh-CN"/>
              </w:rPr>
            </w:pPr>
            <w:r>
              <w:rPr>
                <w:rFonts w:hint="eastAsia" w:eastAsia="宋体"/>
                <w:lang w:val="en-US" w:eastAsia="zh-CN"/>
              </w:rPr>
              <w:t>Te</w:t>
            </w:r>
            <w:r>
              <w:rPr>
                <w:rFonts w:hint="eastAsia" w:eastAsia="宋体"/>
                <w:vertAlign w:val="subscript"/>
                <w:lang w:val="en-US" w:eastAsia="zh-CN"/>
              </w:rPr>
              <w:t>k_max</w:t>
            </w:r>
          </w:p>
        </w:tc>
        <w:tc>
          <w:tcPr>
            <w:tcW w:w="3686" w:type="dxa"/>
          </w:tcPr>
          <w:p>
            <w:pPr>
              <w:pStyle w:val="24"/>
              <w:ind w:left="0"/>
            </w:pPr>
          </w:p>
        </w:tc>
      </w:tr>
    </w:tbl>
    <w:p>
      <w:pPr>
        <w:pStyle w:val="24"/>
        <w:rPr>
          <w:u w:val="single"/>
        </w:rPr>
      </w:pPr>
    </w:p>
    <w:p>
      <w:pPr>
        <w:keepLines/>
        <w:overflowPunct w:val="0"/>
        <w:autoSpaceDE w:val="0"/>
        <w:autoSpaceDN w:val="0"/>
        <w:adjustRightInd w:val="0"/>
        <w:spacing w:after="180"/>
        <w:textAlignment w:val="baseline"/>
        <w:rPr>
          <w:rFonts w:hint="eastAsia" w:eastAsia="宋体"/>
          <w:lang w:val="en-US" w:eastAsia="zh-CN"/>
        </w:rPr>
      </w:pPr>
      <w:r>
        <w:rPr>
          <w:rFonts w:hint="eastAsia" w:eastAsia="宋体"/>
          <w:lang w:val="en-US" w:eastAsia="zh-CN"/>
        </w:rPr>
        <w:t>The maximum allowed value of k should be FFS.</w:t>
      </w:r>
    </w:p>
    <w:p>
      <w:pPr>
        <w:keepLines/>
        <w:overflowPunct w:val="0"/>
        <w:autoSpaceDE w:val="0"/>
        <w:autoSpaceDN w:val="0"/>
        <w:adjustRightInd w:val="0"/>
        <w:spacing w:after="180"/>
        <w:textAlignment w:val="baseline"/>
        <w:rPr>
          <w:rFonts w:hint="default" w:eastAsia="宋体"/>
          <w:lang w:val="en-US" w:eastAsia="zh-CN"/>
        </w:rPr>
      </w:pPr>
      <w:r>
        <w:rPr>
          <w:rFonts w:hint="eastAsia" w:eastAsia="宋体"/>
          <w:lang w:val="en-US" w:eastAsia="zh-CN"/>
        </w:rPr>
        <w:t xml:space="preserve">If no SSB is available during the last k_max * 160 ms, then the radio link failure handling procedure shall be triggered in the same way as now it would be triggered if uplink transmission timing error exceeds </w:t>
      </w:r>
      <w:r>
        <w:t>Te as defined in table 7.1.2-1 of 38.133</w:t>
      </w:r>
      <w:r>
        <w:rPr>
          <w:rFonts w:hint="eastAsia" w:eastAsia="宋体"/>
          <w:lang w:val="en-US" w:eastAsia="zh-CN"/>
        </w:rPr>
        <w:t xml:space="preserve">. </w:t>
      </w:r>
    </w:p>
    <w:p>
      <w:pPr>
        <w:pStyle w:val="34"/>
        <w:rPr>
          <w:sz w:val="20"/>
          <w:szCs w:val="20"/>
          <w:lang w:eastAsia="zh-CN"/>
        </w:rPr>
      </w:pPr>
      <w:r>
        <w:rPr>
          <w:rFonts w:hint="eastAsia"/>
          <w:sz w:val="20"/>
          <w:szCs w:val="20"/>
          <w:lang w:val="en-US" w:eastAsia="zh-CN"/>
        </w:rPr>
        <w:t>Assume the SSB is available during the last X ms, and X is a multiple of 160 by integers. When X = k*160, the corresponding uplink transmission timing error should be bounded by Te</w:t>
      </w:r>
      <w:r>
        <w:rPr>
          <w:rFonts w:hint="eastAsia"/>
          <w:sz w:val="20"/>
          <w:szCs w:val="20"/>
          <w:vertAlign w:val="subscript"/>
          <w:lang w:val="en-US" w:eastAsia="zh-CN"/>
        </w:rPr>
        <w:t>k</w:t>
      </w:r>
      <w:r>
        <w:rPr>
          <w:rFonts w:hint="eastAsia"/>
          <w:sz w:val="20"/>
          <w:szCs w:val="20"/>
          <w:lang w:val="en-US" w:eastAsia="zh-CN"/>
        </w:rPr>
        <w:t>. The relationship between X and uplink transmission timing error limit Te</w:t>
      </w:r>
      <w:r>
        <w:rPr>
          <w:rFonts w:hint="eastAsia"/>
          <w:sz w:val="20"/>
          <w:szCs w:val="20"/>
          <w:vertAlign w:val="subscript"/>
          <w:lang w:val="en-US" w:eastAsia="zh-CN"/>
        </w:rPr>
        <w:t>k</w:t>
      </w:r>
      <w:r>
        <w:rPr>
          <w:rFonts w:hint="eastAsia"/>
          <w:sz w:val="20"/>
          <w:szCs w:val="20"/>
          <w:lang w:val="en-US" w:eastAsia="zh-CN"/>
        </w:rPr>
        <w:t xml:space="preserve"> may look like the following:</w:t>
      </w:r>
    </w:p>
    <w:tbl>
      <w:tblPr>
        <w:tblStyle w:val="21"/>
        <w:tblW w:w="8901" w:type="dxa"/>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6"/>
        <w:gridCol w:w="2329"/>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86" w:type="dxa"/>
          </w:tcPr>
          <w:p>
            <w:pPr>
              <w:pStyle w:val="24"/>
              <w:ind w:left="0"/>
              <w:rPr>
                <w:rFonts w:hint="default" w:eastAsia="宋体"/>
                <w:lang w:val="en-US" w:eastAsia="zh-CN"/>
              </w:rPr>
            </w:pPr>
            <w:r>
              <w:t>X</w:t>
            </w:r>
          </w:p>
        </w:tc>
        <w:tc>
          <w:tcPr>
            <w:tcW w:w="2329" w:type="dxa"/>
          </w:tcPr>
          <w:p>
            <w:pPr>
              <w:pStyle w:val="24"/>
              <w:ind w:left="0"/>
            </w:pPr>
            <w:r>
              <w:t>UL transmission timing error</w:t>
            </w:r>
          </w:p>
        </w:tc>
        <w:tc>
          <w:tcPr>
            <w:tcW w:w="3686" w:type="dxa"/>
          </w:tcPr>
          <w:p>
            <w:pPr>
              <w:pStyle w:val="24"/>
              <w:ind w:left="0"/>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86" w:type="dxa"/>
          </w:tcPr>
          <w:p>
            <w:pPr>
              <w:pStyle w:val="24"/>
              <w:ind w:left="0"/>
            </w:pPr>
            <w:r>
              <w:t>160</w:t>
            </w:r>
          </w:p>
        </w:tc>
        <w:tc>
          <w:tcPr>
            <w:tcW w:w="2329" w:type="dxa"/>
          </w:tcPr>
          <w:p>
            <w:pPr>
              <w:pStyle w:val="24"/>
              <w:ind w:left="0"/>
            </w:pPr>
            <w:r>
              <w:t>Te</w:t>
            </w:r>
            <w:r>
              <w:rPr>
                <w:vertAlign w:val="subscript"/>
              </w:rPr>
              <w:t xml:space="preserve">1 </w:t>
            </w:r>
          </w:p>
        </w:tc>
        <w:tc>
          <w:tcPr>
            <w:tcW w:w="3686" w:type="dxa"/>
          </w:tcPr>
          <w:p>
            <w:pPr>
              <w:pStyle w:val="24"/>
              <w:ind w:left="0"/>
            </w:pPr>
            <w:r>
              <w:t>Same as Te, as defined in table 7.1.2-1 of 38.133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86" w:type="dxa"/>
          </w:tcPr>
          <w:p>
            <w:pPr>
              <w:pStyle w:val="24"/>
              <w:ind w:left="0"/>
            </w:pPr>
            <w:r>
              <w:t>320</w:t>
            </w:r>
          </w:p>
        </w:tc>
        <w:tc>
          <w:tcPr>
            <w:tcW w:w="2329" w:type="dxa"/>
          </w:tcPr>
          <w:p>
            <w:pPr>
              <w:pStyle w:val="24"/>
              <w:ind w:left="0"/>
            </w:pPr>
            <w:r>
              <w:t>Te</w:t>
            </w:r>
            <w:r>
              <w:rPr>
                <w:vertAlign w:val="subscript"/>
              </w:rPr>
              <w:t>2</w:t>
            </w:r>
          </w:p>
        </w:tc>
        <w:tc>
          <w:tcPr>
            <w:tcW w:w="3686" w:type="dxa"/>
          </w:tcPr>
          <w:p>
            <w:pPr>
              <w:pStyle w:val="24"/>
              <w:ind w:left="0"/>
            </w:pPr>
            <w:r>
              <w:t>More relaxed than Te</w:t>
            </w:r>
            <w:r>
              <w:rPr>
                <w:vertAlign w:val="sub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86" w:type="dxa"/>
          </w:tcPr>
          <w:p>
            <w:pPr>
              <w:pStyle w:val="24"/>
              <w:ind w:left="0"/>
              <w:rPr>
                <w:rFonts w:hint="default" w:eastAsia="宋体"/>
                <w:lang w:val="en-US" w:eastAsia="zh-CN"/>
              </w:rPr>
            </w:pPr>
            <w:r>
              <w:rPr>
                <w:rFonts w:hint="eastAsia" w:eastAsia="宋体"/>
                <w:lang w:val="en-US" w:eastAsia="zh-CN"/>
              </w:rPr>
              <w:t>480</w:t>
            </w:r>
          </w:p>
        </w:tc>
        <w:tc>
          <w:tcPr>
            <w:tcW w:w="2329" w:type="dxa"/>
          </w:tcPr>
          <w:p>
            <w:pPr>
              <w:pStyle w:val="24"/>
              <w:ind w:left="0"/>
            </w:pPr>
            <w:r>
              <w:t>Te</w:t>
            </w:r>
            <w:r>
              <w:rPr>
                <w:vertAlign w:val="subscript"/>
              </w:rPr>
              <w:t>3</w:t>
            </w:r>
          </w:p>
        </w:tc>
        <w:tc>
          <w:tcPr>
            <w:tcW w:w="3686" w:type="dxa"/>
          </w:tcPr>
          <w:p>
            <w:pPr>
              <w:pStyle w:val="24"/>
              <w:ind w:left="0"/>
            </w:pPr>
            <w:r>
              <w:t>More relaxed than Te</w:t>
            </w:r>
            <w:r>
              <w:rPr>
                <w:vertAlign w:val="sub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86" w:type="dxa"/>
          </w:tcPr>
          <w:p>
            <w:pPr>
              <w:pStyle w:val="24"/>
              <w:ind w:left="0"/>
            </w:pPr>
            <w:r>
              <w:t>…</w:t>
            </w:r>
          </w:p>
        </w:tc>
        <w:tc>
          <w:tcPr>
            <w:tcW w:w="2329" w:type="dxa"/>
          </w:tcPr>
          <w:p>
            <w:pPr>
              <w:pStyle w:val="24"/>
              <w:ind w:left="0"/>
            </w:pPr>
            <w:r>
              <w:t>…</w:t>
            </w:r>
          </w:p>
        </w:tc>
        <w:tc>
          <w:tcPr>
            <w:tcW w:w="3686" w:type="dxa"/>
          </w:tcPr>
          <w:p>
            <w:pPr>
              <w:pStyle w:val="24"/>
              <w:ind w:left="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86" w:type="dxa"/>
          </w:tcPr>
          <w:p>
            <w:pPr>
              <w:pStyle w:val="24"/>
              <w:ind w:left="0"/>
              <w:rPr>
                <w:rFonts w:hint="default" w:eastAsia="宋体"/>
                <w:lang w:val="en-US" w:eastAsia="zh-CN"/>
              </w:rPr>
            </w:pPr>
            <w:r>
              <w:rPr>
                <w:rFonts w:hint="eastAsia" w:eastAsia="宋体"/>
                <w:lang w:val="en-US" w:eastAsia="zh-CN"/>
              </w:rPr>
              <w:t>k_max * 160</w:t>
            </w:r>
          </w:p>
        </w:tc>
        <w:tc>
          <w:tcPr>
            <w:tcW w:w="2329" w:type="dxa"/>
          </w:tcPr>
          <w:p>
            <w:pPr>
              <w:pStyle w:val="24"/>
              <w:ind w:left="0"/>
              <w:rPr>
                <w:rFonts w:hint="default" w:eastAsia="宋体"/>
                <w:lang w:val="en-US" w:eastAsia="zh-CN"/>
              </w:rPr>
            </w:pPr>
            <w:r>
              <w:rPr>
                <w:rFonts w:hint="eastAsia" w:eastAsia="宋体"/>
                <w:lang w:val="en-US" w:eastAsia="zh-CN"/>
              </w:rPr>
              <w:t>Te</w:t>
            </w:r>
            <w:r>
              <w:rPr>
                <w:rFonts w:hint="eastAsia" w:eastAsia="宋体"/>
                <w:vertAlign w:val="subscript"/>
                <w:lang w:val="en-US" w:eastAsia="zh-CN"/>
              </w:rPr>
              <w:t>k_max</w:t>
            </w:r>
          </w:p>
        </w:tc>
        <w:tc>
          <w:tcPr>
            <w:tcW w:w="3686" w:type="dxa"/>
          </w:tcPr>
          <w:p>
            <w:pPr>
              <w:pStyle w:val="24"/>
              <w:ind w:left="0"/>
            </w:pPr>
          </w:p>
        </w:tc>
      </w:tr>
    </w:tbl>
    <w:p>
      <w:pPr>
        <w:rPr>
          <w:lang w:eastAsia="zh-CN"/>
        </w:rPr>
      </w:pPr>
    </w:p>
    <w:p>
      <w:pPr>
        <w:pStyle w:val="34"/>
        <w:rPr>
          <w:sz w:val="20"/>
          <w:szCs w:val="20"/>
          <w:lang w:eastAsia="zh-CN"/>
        </w:rPr>
      </w:pPr>
      <w:r>
        <w:rPr>
          <w:rFonts w:hint="eastAsia"/>
          <w:sz w:val="20"/>
          <w:szCs w:val="20"/>
          <w:lang w:val="en-US" w:eastAsia="zh-CN"/>
        </w:rPr>
        <w:t>The maximum allowed value of k should be FFS.</w:t>
      </w:r>
    </w:p>
    <w:p>
      <w:pPr>
        <w:pStyle w:val="34"/>
        <w:rPr>
          <w:sz w:val="20"/>
          <w:szCs w:val="20"/>
          <w:lang w:eastAsia="zh-CN"/>
        </w:rPr>
      </w:pPr>
      <w:r>
        <w:rPr>
          <w:rFonts w:hint="eastAsia"/>
          <w:sz w:val="20"/>
          <w:szCs w:val="20"/>
          <w:lang w:val="en-US" w:eastAsia="zh-CN"/>
        </w:rPr>
        <w:t xml:space="preserve">If the timing error exceeds </w:t>
      </w:r>
      <w:r>
        <w:rPr>
          <w:rFonts w:hint="eastAsia" w:eastAsia="宋体"/>
          <w:lang w:val="en-US" w:eastAsia="zh-CN"/>
        </w:rPr>
        <w:t>k_max * 160 ms, reuse the current procedures to handle radio link failure in Release 16.</w:t>
      </w:r>
    </w:p>
    <w:p>
      <w:pPr>
        <w:pStyle w:val="26"/>
        <w:jc w:val="both"/>
      </w:pPr>
      <w:r>
        <w:rPr>
          <w:rFonts w:hint="eastAsia"/>
          <w:lang w:val="en-US" w:eastAsia="zh-CN"/>
        </w:rPr>
        <w:t>3</w:t>
      </w:r>
      <w:r>
        <w:tab/>
      </w:r>
      <w:r>
        <w:t>Conclusion</w:t>
      </w:r>
    </w:p>
    <w:p>
      <w:pPr>
        <w:pStyle w:val="38"/>
        <w:numPr>
          <w:ilvl w:val="0"/>
          <w:numId w:val="0"/>
        </w:numPr>
        <w:ind w:leftChars="0"/>
        <w:rPr>
          <w:rFonts w:hint="default" w:eastAsia="宋体"/>
          <w:lang w:val="en-US" w:eastAsia="zh-CN"/>
        </w:rPr>
      </w:pPr>
      <w:r>
        <w:rPr>
          <w:rFonts w:hint="eastAsia" w:eastAsia="宋体" w:cs="v4.2.0"/>
          <w:b/>
          <w:bCs/>
          <w:i w:val="0"/>
          <w:iCs w:val="0"/>
          <w:highlight w:val="none"/>
          <w:lang w:val="en-US" w:eastAsia="zh-CN"/>
        </w:rPr>
        <w:t>Observation 1:</w:t>
      </w:r>
      <w:r>
        <w:rPr>
          <w:rFonts w:hint="eastAsia" w:eastAsia="宋体" w:cs="v4.2.0"/>
          <w:i w:val="0"/>
          <w:iCs w:val="0"/>
          <w:highlight w:val="none"/>
          <w:lang w:val="en-US" w:eastAsia="zh-CN"/>
        </w:rPr>
        <w:t xml:space="preserve"> In NR-U, the probability that </w:t>
      </w:r>
      <w:r>
        <w:rPr>
          <w:rFonts w:cs="v4.2.0"/>
          <w:i w:val="0"/>
          <w:iCs w:val="0"/>
          <w:highlight w:val="none"/>
        </w:rPr>
        <w:t>at least one SSB is available at the UE during the last 160 ms</w:t>
      </w:r>
      <w:r>
        <w:rPr>
          <w:rFonts w:hint="eastAsia" w:eastAsia="宋体" w:cs="v4.2.0"/>
          <w:i w:val="0"/>
          <w:iCs w:val="0"/>
          <w:highlight w:val="none"/>
          <w:lang w:val="en-US" w:eastAsia="zh-CN"/>
        </w:rPr>
        <w:t xml:space="preserve"> is lower than NR in licensed band given the other conditions are the same.</w:t>
      </w:r>
    </w:p>
    <w:p>
      <w:pPr>
        <w:pStyle w:val="34"/>
        <w:numPr>
          <w:ilvl w:val="0"/>
          <w:numId w:val="0"/>
        </w:numPr>
        <w:ind w:leftChars="0"/>
        <w:rPr>
          <w:sz w:val="20"/>
          <w:szCs w:val="20"/>
          <w:lang w:eastAsia="zh-CN"/>
        </w:rPr>
      </w:pPr>
      <w:r>
        <w:rPr>
          <w:rFonts w:hint="eastAsia"/>
          <w:sz w:val="20"/>
          <w:szCs w:val="20"/>
          <w:lang w:val="en-US" w:eastAsia="zh-CN"/>
        </w:rPr>
        <w:t>Proposal 1: Assume the SSB is available during the last X ms, and X is a multiple of 160 by integers. When X = k*160, the corresponding uplink transmission timing error should be bounded by Te</w:t>
      </w:r>
      <w:r>
        <w:rPr>
          <w:rFonts w:hint="eastAsia"/>
          <w:sz w:val="20"/>
          <w:szCs w:val="20"/>
          <w:vertAlign w:val="subscript"/>
          <w:lang w:val="en-US" w:eastAsia="zh-CN"/>
        </w:rPr>
        <w:t>k</w:t>
      </w:r>
      <w:r>
        <w:rPr>
          <w:rFonts w:hint="eastAsia"/>
          <w:sz w:val="20"/>
          <w:szCs w:val="20"/>
          <w:lang w:val="en-US" w:eastAsia="zh-CN"/>
        </w:rPr>
        <w:t>. The relationship between X and uplink transmission timing error limit Te</w:t>
      </w:r>
      <w:r>
        <w:rPr>
          <w:rFonts w:hint="eastAsia"/>
          <w:sz w:val="20"/>
          <w:szCs w:val="20"/>
          <w:vertAlign w:val="subscript"/>
          <w:lang w:val="en-US" w:eastAsia="zh-CN"/>
        </w:rPr>
        <w:t>k</w:t>
      </w:r>
      <w:r>
        <w:rPr>
          <w:rFonts w:hint="eastAsia"/>
          <w:sz w:val="20"/>
          <w:szCs w:val="20"/>
          <w:lang w:val="en-US" w:eastAsia="zh-CN"/>
        </w:rPr>
        <w:t xml:space="preserve"> may look like the following:</w:t>
      </w:r>
    </w:p>
    <w:tbl>
      <w:tblPr>
        <w:tblStyle w:val="21"/>
        <w:tblW w:w="8901" w:type="dxa"/>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6"/>
        <w:gridCol w:w="2329"/>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86" w:type="dxa"/>
          </w:tcPr>
          <w:p>
            <w:pPr>
              <w:pStyle w:val="24"/>
              <w:ind w:left="0"/>
              <w:rPr>
                <w:rFonts w:hint="default" w:eastAsia="宋体"/>
                <w:lang w:val="en-US" w:eastAsia="zh-CN"/>
              </w:rPr>
            </w:pPr>
            <w:r>
              <w:t>X</w:t>
            </w:r>
          </w:p>
        </w:tc>
        <w:tc>
          <w:tcPr>
            <w:tcW w:w="2329" w:type="dxa"/>
          </w:tcPr>
          <w:p>
            <w:pPr>
              <w:pStyle w:val="24"/>
              <w:ind w:left="0"/>
            </w:pPr>
            <w:r>
              <w:t>UL transmission timing error</w:t>
            </w:r>
          </w:p>
        </w:tc>
        <w:tc>
          <w:tcPr>
            <w:tcW w:w="3686" w:type="dxa"/>
          </w:tcPr>
          <w:p>
            <w:pPr>
              <w:pStyle w:val="24"/>
              <w:ind w:left="0"/>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86" w:type="dxa"/>
          </w:tcPr>
          <w:p>
            <w:pPr>
              <w:pStyle w:val="24"/>
              <w:ind w:left="0"/>
            </w:pPr>
            <w:r>
              <w:t>160</w:t>
            </w:r>
          </w:p>
        </w:tc>
        <w:tc>
          <w:tcPr>
            <w:tcW w:w="2329" w:type="dxa"/>
          </w:tcPr>
          <w:p>
            <w:pPr>
              <w:pStyle w:val="24"/>
              <w:ind w:left="0"/>
            </w:pPr>
            <w:r>
              <w:t>Te</w:t>
            </w:r>
            <w:r>
              <w:rPr>
                <w:vertAlign w:val="subscript"/>
              </w:rPr>
              <w:t xml:space="preserve">1 </w:t>
            </w:r>
          </w:p>
        </w:tc>
        <w:tc>
          <w:tcPr>
            <w:tcW w:w="3686" w:type="dxa"/>
          </w:tcPr>
          <w:p>
            <w:pPr>
              <w:pStyle w:val="24"/>
              <w:ind w:left="0"/>
            </w:pPr>
            <w:r>
              <w:t>Same as Te, as defined in table 7.1.2-1 of 38.133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86" w:type="dxa"/>
          </w:tcPr>
          <w:p>
            <w:pPr>
              <w:pStyle w:val="24"/>
              <w:ind w:left="0"/>
            </w:pPr>
            <w:r>
              <w:t>320</w:t>
            </w:r>
          </w:p>
        </w:tc>
        <w:tc>
          <w:tcPr>
            <w:tcW w:w="2329" w:type="dxa"/>
          </w:tcPr>
          <w:p>
            <w:pPr>
              <w:pStyle w:val="24"/>
              <w:ind w:left="0"/>
            </w:pPr>
            <w:r>
              <w:t>Te</w:t>
            </w:r>
            <w:r>
              <w:rPr>
                <w:vertAlign w:val="subscript"/>
              </w:rPr>
              <w:t>2</w:t>
            </w:r>
          </w:p>
        </w:tc>
        <w:tc>
          <w:tcPr>
            <w:tcW w:w="3686" w:type="dxa"/>
          </w:tcPr>
          <w:p>
            <w:pPr>
              <w:pStyle w:val="24"/>
              <w:ind w:left="0"/>
            </w:pPr>
            <w:r>
              <w:t>More relaxed than Te</w:t>
            </w:r>
            <w:r>
              <w:rPr>
                <w:vertAlign w:val="sub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86" w:type="dxa"/>
          </w:tcPr>
          <w:p>
            <w:pPr>
              <w:pStyle w:val="24"/>
              <w:ind w:left="0"/>
              <w:rPr>
                <w:rFonts w:hint="default" w:eastAsia="宋体"/>
                <w:lang w:val="en-US" w:eastAsia="zh-CN"/>
              </w:rPr>
            </w:pPr>
            <w:r>
              <w:rPr>
                <w:rFonts w:hint="eastAsia" w:eastAsia="宋体"/>
                <w:lang w:val="en-US" w:eastAsia="zh-CN"/>
              </w:rPr>
              <w:t>480</w:t>
            </w:r>
          </w:p>
        </w:tc>
        <w:tc>
          <w:tcPr>
            <w:tcW w:w="2329" w:type="dxa"/>
          </w:tcPr>
          <w:p>
            <w:pPr>
              <w:pStyle w:val="24"/>
              <w:ind w:left="0"/>
            </w:pPr>
            <w:r>
              <w:t>Te</w:t>
            </w:r>
            <w:r>
              <w:rPr>
                <w:vertAlign w:val="subscript"/>
              </w:rPr>
              <w:t>3</w:t>
            </w:r>
          </w:p>
        </w:tc>
        <w:tc>
          <w:tcPr>
            <w:tcW w:w="3686" w:type="dxa"/>
          </w:tcPr>
          <w:p>
            <w:pPr>
              <w:pStyle w:val="24"/>
              <w:ind w:left="0"/>
            </w:pPr>
            <w:r>
              <w:t>More relaxed than Te</w:t>
            </w:r>
            <w:r>
              <w:rPr>
                <w:vertAlign w:val="sub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86" w:type="dxa"/>
          </w:tcPr>
          <w:p>
            <w:pPr>
              <w:pStyle w:val="24"/>
              <w:ind w:left="0"/>
            </w:pPr>
            <w:r>
              <w:t>…</w:t>
            </w:r>
          </w:p>
        </w:tc>
        <w:tc>
          <w:tcPr>
            <w:tcW w:w="2329" w:type="dxa"/>
          </w:tcPr>
          <w:p>
            <w:pPr>
              <w:pStyle w:val="24"/>
              <w:ind w:left="0"/>
            </w:pPr>
            <w:r>
              <w:t>…</w:t>
            </w:r>
          </w:p>
        </w:tc>
        <w:tc>
          <w:tcPr>
            <w:tcW w:w="3686" w:type="dxa"/>
          </w:tcPr>
          <w:p>
            <w:pPr>
              <w:pStyle w:val="24"/>
              <w:ind w:left="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86" w:type="dxa"/>
          </w:tcPr>
          <w:p>
            <w:pPr>
              <w:pStyle w:val="24"/>
              <w:ind w:left="0"/>
              <w:rPr>
                <w:rFonts w:hint="default" w:eastAsia="宋体"/>
                <w:lang w:val="en-US" w:eastAsia="zh-CN"/>
              </w:rPr>
            </w:pPr>
            <w:r>
              <w:rPr>
                <w:rFonts w:hint="eastAsia" w:eastAsia="宋体"/>
                <w:lang w:val="en-US" w:eastAsia="zh-CN"/>
              </w:rPr>
              <w:t>k_max * 160</w:t>
            </w:r>
          </w:p>
        </w:tc>
        <w:tc>
          <w:tcPr>
            <w:tcW w:w="2329" w:type="dxa"/>
          </w:tcPr>
          <w:p>
            <w:pPr>
              <w:pStyle w:val="24"/>
              <w:ind w:left="0"/>
              <w:rPr>
                <w:rFonts w:hint="default" w:eastAsia="宋体"/>
                <w:lang w:val="en-US" w:eastAsia="zh-CN"/>
              </w:rPr>
            </w:pPr>
            <w:r>
              <w:rPr>
                <w:rFonts w:hint="eastAsia" w:eastAsia="宋体"/>
                <w:lang w:val="en-US" w:eastAsia="zh-CN"/>
              </w:rPr>
              <w:t>Te</w:t>
            </w:r>
            <w:r>
              <w:rPr>
                <w:rFonts w:hint="eastAsia" w:eastAsia="宋体"/>
                <w:vertAlign w:val="subscript"/>
                <w:lang w:val="en-US" w:eastAsia="zh-CN"/>
              </w:rPr>
              <w:t>k_max</w:t>
            </w:r>
          </w:p>
        </w:tc>
        <w:tc>
          <w:tcPr>
            <w:tcW w:w="3686" w:type="dxa"/>
          </w:tcPr>
          <w:p>
            <w:pPr>
              <w:pStyle w:val="24"/>
              <w:ind w:left="0"/>
            </w:pPr>
          </w:p>
        </w:tc>
      </w:tr>
    </w:tbl>
    <w:p>
      <w:pPr>
        <w:rPr>
          <w:lang w:eastAsia="zh-CN"/>
        </w:rPr>
      </w:pPr>
    </w:p>
    <w:p>
      <w:pPr>
        <w:pStyle w:val="34"/>
        <w:numPr>
          <w:ilvl w:val="0"/>
          <w:numId w:val="0"/>
        </w:numPr>
        <w:ind w:leftChars="0"/>
        <w:rPr>
          <w:sz w:val="20"/>
          <w:szCs w:val="20"/>
          <w:lang w:eastAsia="zh-CN"/>
        </w:rPr>
      </w:pPr>
      <w:r>
        <w:rPr>
          <w:rFonts w:hint="eastAsia"/>
          <w:sz w:val="20"/>
          <w:szCs w:val="20"/>
          <w:lang w:val="en-US" w:eastAsia="zh-CN"/>
        </w:rPr>
        <w:t>Proposal 2: The maximum allowed value of k should be FFS.</w:t>
      </w:r>
    </w:p>
    <w:p>
      <w:pPr>
        <w:pStyle w:val="34"/>
        <w:numPr>
          <w:ilvl w:val="0"/>
          <w:numId w:val="0"/>
        </w:numPr>
        <w:ind w:leftChars="0"/>
      </w:pPr>
      <w:r>
        <w:rPr>
          <w:rFonts w:hint="eastAsia"/>
          <w:sz w:val="20"/>
          <w:szCs w:val="20"/>
          <w:lang w:val="en-US" w:eastAsia="zh-CN"/>
        </w:rPr>
        <w:t xml:space="preserve">Proposal 3: If the timing error exceeds </w:t>
      </w:r>
      <w:r>
        <w:rPr>
          <w:rFonts w:hint="eastAsia" w:eastAsia="宋体"/>
          <w:lang w:val="en-US" w:eastAsia="zh-CN"/>
        </w:rPr>
        <w:t>k_max * 160 ms, reuse the current procedures to handle radio link failure in Release 16.</w:t>
      </w:r>
    </w:p>
    <w:p>
      <w:pPr>
        <w:pStyle w:val="26"/>
        <w:jc w:val="both"/>
      </w:pPr>
      <w:r>
        <w:t>References</w:t>
      </w:r>
    </w:p>
    <w:p>
      <w:pPr>
        <w:numPr>
          <w:ilvl w:val="0"/>
          <w:numId w:val="6"/>
        </w:numPr>
        <w:overflowPunct w:val="0"/>
        <w:autoSpaceDE w:val="0"/>
        <w:autoSpaceDN w:val="0"/>
        <w:adjustRightInd w:val="0"/>
        <w:spacing w:after="120" w:line="240" w:lineRule="auto"/>
        <w:jc w:val="both"/>
        <w:textAlignment w:val="baseline"/>
        <w:rPr>
          <w:lang w:val="en-GB"/>
        </w:rPr>
      </w:pPr>
      <w:bookmarkStart w:id="4" w:name="_Ref2843888"/>
      <w:r>
        <w:rPr>
          <w:rFonts w:hint="eastAsia" w:eastAsia="宋体"/>
          <w:lang w:val="en-US" w:eastAsia="zh-CN"/>
        </w:rPr>
        <w:t xml:space="preserve">3GPP </w:t>
      </w:r>
      <w:r>
        <w:t>TS 3</w:t>
      </w:r>
      <w:r>
        <w:rPr>
          <w:rFonts w:hint="eastAsia" w:eastAsia="宋体"/>
          <w:lang w:val="en-US" w:eastAsia="zh-CN"/>
        </w:rPr>
        <w:t>8</w:t>
      </w:r>
      <w:r>
        <w:t>.</w:t>
      </w:r>
      <w:r>
        <w:rPr>
          <w:rFonts w:hint="eastAsia" w:eastAsia="宋体"/>
          <w:lang w:val="en-US" w:eastAsia="zh-CN"/>
        </w:rPr>
        <w:t>889</w:t>
      </w:r>
      <w:r>
        <w:t xml:space="preserve"> </w:t>
      </w:r>
      <w:r>
        <w:rPr>
          <w:rFonts w:hint="eastAsia" w:eastAsia="宋体"/>
          <w:lang w:val="en-US" w:eastAsia="zh-CN"/>
        </w:rPr>
        <w:t>NR</w:t>
      </w:r>
      <w:r>
        <w:t xml:space="preserve">; </w:t>
      </w:r>
      <w:bookmarkEnd w:id="4"/>
      <w:r>
        <w:rPr>
          <w:lang w:eastAsia="zh-CN"/>
        </w:rPr>
        <w:t>Study on NR-based access to unlicensed spectrum</w:t>
      </w:r>
      <w:r>
        <w:rPr>
          <w:rFonts w:hint="eastAsia" w:eastAsia="宋体"/>
          <w:lang w:val="en-US" w:eastAsia="zh-CN"/>
        </w:rPr>
        <w:t>.</w:t>
      </w:r>
      <w:r>
        <w:rPr>
          <w:lang w:val="en-GB"/>
        </w:rPr>
        <w:t xml:space="preserve"> </w:t>
      </w:r>
    </w:p>
    <w:p>
      <w:pPr>
        <w:numPr>
          <w:ilvl w:val="0"/>
          <w:numId w:val="6"/>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R4-1909713, Timing Requirements in NR-U, Qualcomm Incorporated.</w:t>
      </w:r>
    </w:p>
    <w:p>
      <w:pPr>
        <w:numPr>
          <w:ilvl w:val="0"/>
          <w:numId w:val="6"/>
        </w:numPr>
        <w:overflowPunct w:val="0"/>
        <w:autoSpaceDE w:val="0"/>
        <w:autoSpaceDN w:val="0"/>
        <w:adjustRightInd w:val="0"/>
        <w:spacing w:after="120" w:line="240" w:lineRule="auto"/>
        <w:jc w:val="both"/>
        <w:textAlignment w:val="baseline"/>
        <w:rPr>
          <w:lang w:val="en-GB"/>
        </w:rPr>
      </w:pPr>
      <w:r>
        <w:rPr>
          <w:rFonts w:hint="eastAsia" w:eastAsia="宋体"/>
          <w:lang w:val="en-US" w:eastAsia="zh-CN"/>
        </w:rPr>
        <w:t xml:space="preserve">3GPP </w:t>
      </w:r>
      <w:r>
        <w:t>TS 3</w:t>
      </w:r>
      <w:r>
        <w:rPr>
          <w:rFonts w:hint="eastAsia" w:eastAsia="宋体"/>
          <w:lang w:val="en-US" w:eastAsia="zh-CN"/>
        </w:rPr>
        <w:t>8</w:t>
      </w:r>
      <w:r>
        <w:t>.</w:t>
      </w:r>
      <w:r>
        <w:rPr>
          <w:rFonts w:hint="eastAsia" w:eastAsia="宋体"/>
          <w:lang w:val="en-US" w:eastAsia="zh-CN"/>
        </w:rPr>
        <w:t>133</w:t>
      </w:r>
      <w:r>
        <w:t xml:space="preserve"> </w:t>
      </w:r>
      <w:r>
        <w:rPr>
          <w:rFonts w:hint="eastAsia" w:eastAsia="宋体"/>
          <w:lang w:val="en-US" w:eastAsia="zh-CN"/>
        </w:rPr>
        <w:t>NR</w:t>
      </w:r>
      <w:r>
        <w:t>;</w:t>
      </w:r>
      <w:r>
        <w:rPr>
          <w:rFonts w:hint="eastAsia" w:eastAsia="宋体"/>
          <w:lang w:val="en-US" w:eastAsia="zh-CN"/>
        </w:rPr>
        <w:t xml:space="preserve"> </w:t>
      </w:r>
      <w:r>
        <w:rPr>
          <w:lang w:eastAsia="zh-CN"/>
        </w:rPr>
        <w:t>Requirements for support of radio resource management</w:t>
      </w:r>
      <w:r>
        <w:rPr>
          <w:rFonts w:hint="eastAsia"/>
          <w:lang w:val="en-US" w:eastAsia="zh-CN"/>
        </w:rPr>
        <w:t>.</w:t>
      </w:r>
    </w:p>
    <w:p>
      <w:pPr>
        <w:numPr>
          <w:ilvl w:val="0"/>
          <w:numId w:val="6"/>
        </w:numPr>
        <w:overflowPunct w:val="0"/>
        <w:autoSpaceDE w:val="0"/>
        <w:autoSpaceDN w:val="0"/>
        <w:adjustRightInd w:val="0"/>
        <w:spacing w:after="120" w:line="240" w:lineRule="auto"/>
        <w:jc w:val="both"/>
        <w:textAlignment w:val="baseline"/>
        <w:rPr>
          <w:lang w:val="en-GB"/>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auto"/>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0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8"/>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0"/>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4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5"/>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7B5E4B"/>
    <w:rsid w:val="018D054D"/>
    <w:rsid w:val="01FF08B3"/>
    <w:rsid w:val="0273332D"/>
    <w:rsid w:val="02B85B38"/>
    <w:rsid w:val="02C25D33"/>
    <w:rsid w:val="02FA609C"/>
    <w:rsid w:val="03C6506D"/>
    <w:rsid w:val="03D15FB1"/>
    <w:rsid w:val="03F37217"/>
    <w:rsid w:val="04072357"/>
    <w:rsid w:val="04C77D0A"/>
    <w:rsid w:val="04D5204C"/>
    <w:rsid w:val="04D81AD2"/>
    <w:rsid w:val="052051ED"/>
    <w:rsid w:val="054A5840"/>
    <w:rsid w:val="059B61E4"/>
    <w:rsid w:val="059D6138"/>
    <w:rsid w:val="05A86143"/>
    <w:rsid w:val="06105DAC"/>
    <w:rsid w:val="069766CC"/>
    <w:rsid w:val="07502CA2"/>
    <w:rsid w:val="076358EA"/>
    <w:rsid w:val="079D410C"/>
    <w:rsid w:val="08641205"/>
    <w:rsid w:val="08935729"/>
    <w:rsid w:val="08C654D4"/>
    <w:rsid w:val="08CC5D10"/>
    <w:rsid w:val="099F556C"/>
    <w:rsid w:val="0A5763D4"/>
    <w:rsid w:val="0A7BF868"/>
    <w:rsid w:val="0B7322DC"/>
    <w:rsid w:val="0BB77882"/>
    <w:rsid w:val="0BCA50AD"/>
    <w:rsid w:val="0BCD58B6"/>
    <w:rsid w:val="0C3F0A48"/>
    <w:rsid w:val="0C56263C"/>
    <w:rsid w:val="0C5E2B8A"/>
    <w:rsid w:val="0CA57746"/>
    <w:rsid w:val="0DDA6F64"/>
    <w:rsid w:val="0DF104D3"/>
    <w:rsid w:val="0ED138E6"/>
    <w:rsid w:val="0FB648CB"/>
    <w:rsid w:val="0FD0731A"/>
    <w:rsid w:val="0FF1533A"/>
    <w:rsid w:val="10C77BB2"/>
    <w:rsid w:val="10CD0B75"/>
    <w:rsid w:val="110C4D24"/>
    <w:rsid w:val="128409CA"/>
    <w:rsid w:val="12BB3A94"/>
    <w:rsid w:val="12EF585C"/>
    <w:rsid w:val="13262572"/>
    <w:rsid w:val="137D50D6"/>
    <w:rsid w:val="139B3B65"/>
    <w:rsid w:val="13D36053"/>
    <w:rsid w:val="13F75352"/>
    <w:rsid w:val="1480544B"/>
    <w:rsid w:val="14B36B91"/>
    <w:rsid w:val="15112CCC"/>
    <w:rsid w:val="164A485F"/>
    <w:rsid w:val="16654289"/>
    <w:rsid w:val="16DB79C9"/>
    <w:rsid w:val="16ED3ED9"/>
    <w:rsid w:val="17450349"/>
    <w:rsid w:val="177104CB"/>
    <w:rsid w:val="17E826AB"/>
    <w:rsid w:val="18D3414F"/>
    <w:rsid w:val="18D91924"/>
    <w:rsid w:val="1AD47BB2"/>
    <w:rsid w:val="1B7F155B"/>
    <w:rsid w:val="1C414122"/>
    <w:rsid w:val="1CA75374"/>
    <w:rsid w:val="1D1F1294"/>
    <w:rsid w:val="1E8806BC"/>
    <w:rsid w:val="1EA137E3"/>
    <w:rsid w:val="1F0936F5"/>
    <w:rsid w:val="1F17474D"/>
    <w:rsid w:val="1F711839"/>
    <w:rsid w:val="200D067C"/>
    <w:rsid w:val="20811B82"/>
    <w:rsid w:val="20A662B2"/>
    <w:rsid w:val="211451D0"/>
    <w:rsid w:val="211F2059"/>
    <w:rsid w:val="2151075A"/>
    <w:rsid w:val="219E74A3"/>
    <w:rsid w:val="22342CFD"/>
    <w:rsid w:val="22571B82"/>
    <w:rsid w:val="22C0245E"/>
    <w:rsid w:val="23514077"/>
    <w:rsid w:val="23B20773"/>
    <w:rsid w:val="242E589D"/>
    <w:rsid w:val="248F188B"/>
    <w:rsid w:val="24E91488"/>
    <w:rsid w:val="2528450B"/>
    <w:rsid w:val="25962669"/>
    <w:rsid w:val="25C20278"/>
    <w:rsid w:val="262D62D9"/>
    <w:rsid w:val="26681CAB"/>
    <w:rsid w:val="267E5FCE"/>
    <w:rsid w:val="27572E0B"/>
    <w:rsid w:val="284E33F7"/>
    <w:rsid w:val="287A3770"/>
    <w:rsid w:val="289E2C62"/>
    <w:rsid w:val="293606FA"/>
    <w:rsid w:val="29517179"/>
    <w:rsid w:val="29DB34EB"/>
    <w:rsid w:val="2A394321"/>
    <w:rsid w:val="2A772E20"/>
    <w:rsid w:val="2AE26D3F"/>
    <w:rsid w:val="2AF8774D"/>
    <w:rsid w:val="2B0F6E62"/>
    <w:rsid w:val="2BB04900"/>
    <w:rsid w:val="2D233DAE"/>
    <w:rsid w:val="2D8E403A"/>
    <w:rsid w:val="2DBE7B35"/>
    <w:rsid w:val="2DF62833"/>
    <w:rsid w:val="2E145F76"/>
    <w:rsid w:val="2EA86D09"/>
    <w:rsid w:val="2F32226B"/>
    <w:rsid w:val="2F376D10"/>
    <w:rsid w:val="308B65F2"/>
    <w:rsid w:val="3117229F"/>
    <w:rsid w:val="31395268"/>
    <w:rsid w:val="31C07D35"/>
    <w:rsid w:val="324554E5"/>
    <w:rsid w:val="325D2B5A"/>
    <w:rsid w:val="327661FC"/>
    <w:rsid w:val="32A27E6D"/>
    <w:rsid w:val="32B33B5A"/>
    <w:rsid w:val="32EE27B2"/>
    <w:rsid w:val="33372789"/>
    <w:rsid w:val="33484A1E"/>
    <w:rsid w:val="335F47E9"/>
    <w:rsid w:val="33F85987"/>
    <w:rsid w:val="346E4104"/>
    <w:rsid w:val="3476470C"/>
    <w:rsid w:val="34D83C16"/>
    <w:rsid w:val="3509315E"/>
    <w:rsid w:val="351A4CC6"/>
    <w:rsid w:val="359F7496"/>
    <w:rsid w:val="35F64604"/>
    <w:rsid w:val="37672524"/>
    <w:rsid w:val="37705F34"/>
    <w:rsid w:val="377700B0"/>
    <w:rsid w:val="37DB41DD"/>
    <w:rsid w:val="37FB7783"/>
    <w:rsid w:val="380927B5"/>
    <w:rsid w:val="3876150B"/>
    <w:rsid w:val="392739EA"/>
    <w:rsid w:val="3946679B"/>
    <w:rsid w:val="399A43EA"/>
    <w:rsid w:val="3A0F1960"/>
    <w:rsid w:val="3A166029"/>
    <w:rsid w:val="3A5626D2"/>
    <w:rsid w:val="3AF216E5"/>
    <w:rsid w:val="3B30671A"/>
    <w:rsid w:val="3B5662AC"/>
    <w:rsid w:val="3CCE203C"/>
    <w:rsid w:val="3D0C1655"/>
    <w:rsid w:val="3D77737D"/>
    <w:rsid w:val="3DD244E7"/>
    <w:rsid w:val="3E5B41D6"/>
    <w:rsid w:val="3ECE16FA"/>
    <w:rsid w:val="3FF55768"/>
    <w:rsid w:val="40566CBF"/>
    <w:rsid w:val="407921CE"/>
    <w:rsid w:val="40C04FE0"/>
    <w:rsid w:val="41724891"/>
    <w:rsid w:val="41F26B78"/>
    <w:rsid w:val="42381A71"/>
    <w:rsid w:val="426B0C9E"/>
    <w:rsid w:val="42841694"/>
    <w:rsid w:val="429266C7"/>
    <w:rsid w:val="42AF1322"/>
    <w:rsid w:val="42E73C10"/>
    <w:rsid w:val="435A0D84"/>
    <w:rsid w:val="43EE582E"/>
    <w:rsid w:val="43FB3DA4"/>
    <w:rsid w:val="441C4006"/>
    <w:rsid w:val="449E489D"/>
    <w:rsid w:val="44B24294"/>
    <w:rsid w:val="44F3025B"/>
    <w:rsid w:val="451019FB"/>
    <w:rsid w:val="455B13AC"/>
    <w:rsid w:val="45CF3CD0"/>
    <w:rsid w:val="45E01D98"/>
    <w:rsid w:val="460567D8"/>
    <w:rsid w:val="462F25DF"/>
    <w:rsid w:val="46620161"/>
    <w:rsid w:val="47C304FD"/>
    <w:rsid w:val="47C357A6"/>
    <w:rsid w:val="47D77F02"/>
    <w:rsid w:val="47DE7B3C"/>
    <w:rsid w:val="487C3875"/>
    <w:rsid w:val="48977283"/>
    <w:rsid w:val="48DA0BE4"/>
    <w:rsid w:val="48FA3778"/>
    <w:rsid w:val="49896512"/>
    <w:rsid w:val="4996414B"/>
    <w:rsid w:val="49AA76DD"/>
    <w:rsid w:val="4A25341D"/>
    <w:rsid w:val="4AF26B9D"/>
    <w:rsid w:val="4BAB27F1"/>
    <w:rsid w:val="4BB65435"/>
    <w:rsid w:val="4BCE1489"/>
    <w:rsid w:val="4C723787"/>
    <w:rsid w:val="4CF05EAC"/>
    <w:rsid w:val="4D102CB4"/>
    <w:rsid w:val="4D524EB2"/>
    <w:rsid w:val="4D9E609E"/>
    <w:rsid w:val="4EB053BD"/>
    <w:rsid w:val="4F370659"/>
    <w:rsid w:val="4FDC68F3"/>
    <w:rsid w:val="50005DA1"/>
    <w:rsid w:val="509778C7"/>
    <w:rsid w:val="512C416B"/>
    <w:rsid w:val="51C53170"/>
    <w:rsid w:val="520C1B8A"/>
    <w:rsid w:val="5280421D"/>
    <w:rsid w:val="52A168AF"/>
    <w:rsid w:val="52BF27F0"/>
    <w:rsid w:val="52D53D91"/>
    <w:rsid w:val="535E62F0"/>
    <w:rsid w:val="5361709F"/>
    <w:rsid w:val="53705401"/>
    <w:rsid w:val="540D782C"/>
    <w:rsid w:val="5553143F"/>
    <w:rsid w:val="55B42DC5"/>
    <w:rsid w:val="5622749A"/>
    <w:rsid w:val="586B2608"/>
    <w:rsid w:val="592D7AE2"/>
    <w:rsid w:val="593554F0"/>
    <w:rsid w:val="5A3078C5"/>
    <w:rsid w:val="5AE53367"/>
    <w:rsid w:val="5B0B0083"/>
    <w:rsid w:val="5B80296B"/>
    <w:rsid w:val="5BC3228B"/>
    <w:rsid w:val="5C3B1FEA"/>
    <w:rsid w:val="5D041ECD"/>
    <w:rsid w:val="5D11539B"/>
    <w:rsid w:val="5D4E3EA9"/>
    <w:rsid w:val="5E2D4C21"/>
    <w:rsid w:val="5EE41E2E"/>
    <w:rsid w:val="5F0F00DA"/>
    <w:rsid w:val="60017F85"/>
    <w:rsid w:val="6045086B"/>
    <w:rsid w:val="60745B63"/>
    <w:rsid w:val="60A95E74"/>
    <w:rsid w:val="61051332"/>
    <w:rsid w:val="62B7743E"/>
    <w:rsid w:val="64116858"/>
    <w:rsid w:val="648D5222"/>
    <w:rsid w:val="65C64C37"/>
    <w:rsid w:val="65E21A4D"/>
    <w:rsid w:val="66AB371C"/>
    <w:rsid w:val="66AE1192"/>
    <w:rsid w:val="66CA69C3"/>
    <w:rsid w:val="67E42DFA"/>
    <w:rsid w:val="69462386"/>
    <w:rsid w:val="6A4C46AD"/>
    <w:rsid w:val="6A6142DE"/>
    <w:rsid w:val="6A7016FE"/>
    <w:rsid w:val="6AA03B61"/>
    <w:rsid w:val="6B5E2EC6"/>
    <w:rsid w:val="6C42065A"/>
    <w:rsid w:val="6C6F44FD"/>
    <w:rsid w:val="6CD23A18"/>
    <w:rsid w:val="6CD4731D"/>
    <w:rsid w:val="6D3205F0"/>
    <w:rsid w:val="6DCA1211"/>
    <w:rsid w:val="6E504618"/>
    <w:rsid w:val="6EB20078"/>
    <w:rsid w:val="6EFC7775"/>
    <w:rsid w:val="6F5579D7"/>
    <w:rsid w:val="6F801AF8"/>
    <w:rsid w:val="6F8D5AAE"/>
    <w:rsid w:val="6FFF59CB"/>
    <w:rsid w:val="70160759"/>
    <w:rsid w:val="703A7715"/>
    <w:rsid w:val="704E4A67"/>
    <w:rsid w:val="70995673"/>
    <w:rsid w:val="70AA0AC2"/>
    <w:rsid w:val="70EA7511"/>
    <w:rsid w:val="71143E21"/>
    <w:rsid w:val="72867A39"/>
    <w:rsid w:val="72B01A9D"/>
    <w:rsid w:val="72BA6737"/>
    <w:rsid w:val="72EE3608"/>
    <w:rsid w:val="732F59FD"/>
    <w:rsid w:val="7355417D"/>
    <w:rsid w:val="73FC4CDB"/>
    <w:rsid w:val="74D53B99"/>
    <w:rsid w:val="754C1AAF"/>
    <w:rsid w:val="76D8737F"/>
    <w:rsid w:val="76E279D7"/>
    <w:rsid w:val="772E0626"/>
    <w:rsid w:val="776E285A"/>
    <w:rsid w:val="77B02D8D"/>
    <w:rsid w:val="77C0093D"/>
    <w:rsid w:val="77C90B9C"/>
    <w:rsid w:val="78614B1D"/>
    <w:rsid w:val="793758F2"/>
    <w:rsid w:val="7A787ECB"/>
    <w:rsid w:val="7A8B51CB"/>
    <w:rsid w:val="7A9A4ADE"/>
    <w:rsid w:val="7AB507FA"/>
    <w:rsid w:val="7AC634CB"/>
    <w:rsid w:val="7C41564D"/>
    <w:rsid w:val="7CB561C0"/>
    <w:rsid w:val="7CCC277F"/>
    <w:rsid w:val="7CE3033A"/>
    <w:rsid w:val="7D0A2590"/>
    <w:rsid w:val="7D550752"/>
    <w:rsid w:val="7D6A7A29"/>
    <w:rsid w:val="7DCC5A45"/>
    <w:rsid w:val="7DFE0D5A"/>
    <w:rsid w:val="7E8B6D0C"/>
    <w:rsid w:val="7ED351F3"/>
    <w:rsid w:val="7F285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3"/>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2"/>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1"/>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6">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57"/>
    <w:semiHidden/>
    <w:unhideWhenUsed/>
    <w:qFormat/>
    <w:uiPriority w:val="99"/>
    <w:rPr>
      <w:b/>
      <w:bCs/>
    </w:rPr>
  </w:style>
  <w:style w:type="paragraph" w:styleId="7">
    <w:name w:val="annotation text"/>
    <w:basedOn w:val="1"/>
    <w:link w:val="56"/>
    <w:semiHidden/>
    <w:unhideWhenUsed/>
    <w:qFormat/>
    <w:uiPriority w:val="99"/>
    <w:pPr>
      <w:spacing w:line="240" w:lineRule="auto"/>
    </w:pPr>
    <w:rPr>
      <w:szCs w:val="20"/>
    </w:rPr>
  </w:style>
  <w:style w:type="paragraph" w:styleId="8">
    <w:name w:val="caption"/>
    <w:basedOn w:val="1"/>
    <w:next w:val="1"/>
    <w:link w:val="36"/>
    <w:unhideWhenUsed/>
    <w:qFormat/>
    <w:uiPriority w:val="35"/>
    <w:pPr>
      <w:spacing w:after="200" w:line="240" w:lineRule="auto"/>
      <w:jc w:val="center"/>
    </w:pPr>
    <w:rPr>
      <w:rFonts w:ascii="Arial" w:hAnsi="Arial"/>
      <w:i/>
      <w:iCs/>
      <w:sz w:val="18"/>
      <w:szCs w:val="18"/>
    </w:rPr>
  </w:style>
  <w:style w:type="paragraph" w:styleId="9">
    <w:name w:val="Body Text"/>
    <w:basedOn w:val="1"/>
    <w:link w:val="44"/>
    <w:semiHidden/>
    <w:unhideWhenUsed/>
    <w:qFormat/>
    <w:uiPriority w:val="0"/>
    <w:pPr>
      <w:spacing w:after="120" w:line="256" w:lineRule="auto"/>
      <w:jc w:val="both"/>
    </w:pPr>
    <w:rPr>
      <w:rFonts w:ascii="Arial" w:hAnsi="Arial"/>
      <w:sz w:val="22"/>
      <w:lang w:val="da-DK" w:eastAsia="zh-CN"/>
    </w:rPr>
  </w:style>
  <w:style w:type="paragraph" w:styleId="10">
    <w:name w:val="List 2"/>
    <w:basedOn w:val="1"/>
    <w:semiHidden/>
    <w:unhideWhenUsed/>
    <w:qFormat/>
    <w:uiPriority w:val="99"/>
    <w:pPr>
      <w:ind w:left="566" w:hanging="283"/>
      <w:contextualSpacing/>
    </w:pPr>
  </w:style>
  <w:style w:type="paragraph" w:styleId="11">
    <w:name w:val="Balloon Text"/>
    <w:basedOn w:val="1"/>
    <w:link w:val="53"/>
    <w:semiHidden/>
    <w:unhideWhenUsed/>
    <w:qFormat/>
    <w:uiPriority w:val="99"/>
    <w:pPr>
      <w:spacing w:after="0" w:line="240" w:lineRule="auto"/>
    </w:pPr>
    <w:rPr>
      <w:rFonts w:ascii="Segoe UI" w:hAnsi="Segoe UI" w:cs="Segoe UI"/>
      <w:sz w:val="18"/>
      <w:szCs w:val="18"/>
    </w:rPr>
  </w:style>
  <w:style w:type="paragraph" w:styleId="12">
    <w:name w:val="header"/>
    <w:link w:val="51"/>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character" w:styleId="17">
    <w:name w:val="FollowedHyperlink"/>
    <w:basedOn w:val="16"/>
    <w:semiHidden/>
    <w:unhideWhenUsed/>
    <w:qFormat/>
    <w:uiPriority w:val="99"/>
    <w:rPr>
      <w:color w:val="954F72" w:themeColor="followedHyperlink"/>
      <w:u w:val="single"/>
      <w14:textFill>
        <w14:solidFill>
          <w14:schemeClr w14:val="folHlink"/>
        </w14:solidFill>
      </w14:textFill>
    </w:rPr>
  </w:style>
  <w:style w:type="character" w:styleId="18">
    <w:name w:val="Hyperlink"/>
    <w:basedOn w:val="16"/>
    <w:unhideWhenUsed/>
    <w:qFormat/>
    <w:uiPriority w:val="99"/>
    <w:rPr>
      <w:color w:val="0563C1" w:themeColor="hyperlink"/>
      <w:u w:val="single"/>
      <w14:textFill>
        <w14:solidFill>
          <w14:schemeClr w14:val="hlink"/>
        </w14:solidFill>
      </w14:textFill>
    </w:rPr>
  </w:style>
  <w:style w:type="character" w:styleId="19">
    <w:name w:val="annotation reference"/>
    <w:basedOn w:val="16"/>
    <w:semiHidden/>
    <w:unhideWhenUsed/>
    <w:qFormat/>
    <w:uiPriority w:val="99"/>
    <w:rPr>
      <w:sz w:val="16"/>
      <w:szCs w:val="16"/>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Heading 2 Char"/>
    <w:basedOn w:val="16"/>
    <w:link w:val="3"/>
    <w:qFormat/>
    <w:uiPriority w:val="0"/>
    <w:rPr>
      <w:rFonts w:ascii="Arial" w:hAnsi="Arial" w:eastAsia="Times New Roman" w:cs="Times New Roman"/>
      <w:sz w:val="32"/>
      <w:szCs w:val="20"/>
      <w:lang w:val="en-GB"/>
    </w:rPr>
  </w:style>
  <w:style w:type="character" w:customStyle="1" w:styleId="23">
    <w:name w:val="Heading 1 Char"/>
    <w:basedOn w:val="16"/>
    <w:link w:val="2"/>
    <w:qFormat/>
    <w:uiPriority w:val="9"/>
    <w:rPr>
      <w:rFonts w:asciiTheme="majorHAnsi" w:hAnsiTheme="majorHAnsi" w:eastAsiaTheme="majorEastAsia" w:cstheme="majorBidi"/>
      <w:color w:val="2F5597" w:themeColor="accent1" w:themeShade="BF"/>
      <w:sz w:val="32"/>
      <w:szCs w:val="32"/>
    </w:rPr>
  </w:style>
  <w:style w:type="paragraph" w:styleId="24">
    <w:name w:val="List Paragraph"/>
    <w:basedOn w:val="1"/>
    <w:link w:val="31"/>
    <w:qFormat/>
    <w:uiPriority w:val="34"/>
    <w:pPr>
      <w:ind w:left="720"/>
      <w:contextualSpacing/>
    </w:pPr>
  </w:style>
  <w:style w:type="paragraph" w:customStyle="1" w:styleId="25">
    <w:name w:val="RAN4 H2"/>
    <w:basedOn w:val="3"/>
    <w:next w:val="1"/>
    <w:link w:val="27"/>
    <w:qFormat/>
    <w:uiPriority w:val="0"/>
    <w:rPr>
      <w:lang w:val="en-US"/>
    </w:rPr>
  </w:style>
  <w:style w:type="paragraph" w:customStyle="1" w:styleId="26">
    <w:name w:val="RAN4 H1"/>
    <w:basedOn w:val="1"/>
    <w:link w:val="29"/>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7">
    <w:name w:val="RAN4 H2 Char"/>
    <w:basedOn w:val="22"/>
    <w:link w:val="25"/>
    <w:qFormat/>
    <w:uiPriority w:val="0"/>
    <w:rPr>
      <w:rFonts w:ascii="Arial" w:hAnsi="Arial" w:eastAsia="Times New Roman" w:cs="Times New Roman"/>
      <w:sz w:val="32"/>
      <w:szCs w:val="20"/>
      <w:lang w:val="en-GB"/>
    </w:rPr>
  </w:style>
  <w:style w:type="paragraph" w:customStyle="1" w:styleId="28">
    <w:name w:val="RAN4 Observation"/>
    <w:basedOn w:val="24"/>
    <w:next w:val="1"/>
    <w:link w:val="32"/>
    <w:qFormat/>
    <w:uiPriority w:val="0"/>
    <w:pPr>
      <w:numPr>
        <w:ilvl w:val="0"/>
        <w:numId w:val="1"/>
      </w:numPr>
    </w:pPr>
    <w:rPr>
      <w:rFonts w:eastAsia="Calibri" w:cs="Times New Roman"/>
      <w:szCs w:val="20"/>
      <w:lang w:val="en-GB"/>
    </w:rPr>
  </w:style>
  <w:style w:type="character" w:customStyle="1" w:styleId="29">
    <w:name w:val="RAN4 H1 Char"/>
    <w:basedOn w:val="16"/>
    <w:link w:val="26"/>
    <w:qFormat/>
    <w:uiPriority w:val="0"/>
    <w:rPr>
      <w:rFonts w:ascii="Arial" w:hAnsi="Arial" w:eastAsia="宋体" w:cs="Times New Roman"/>
      <w:sz w:val="36"/>
      <w:szCs w:val="20"/>
      <w:lang w:val="en-GB"/>
    </w:rPr>
  </w:style>
  <w:style w:type="paragraph" w:customStyle="1" w:styleId="30">
    <w:name w:val="RAN4 Proposal"/>
    <w:basedOn w:val="24"/>
    <w:next w:val="1"/>
    <w:link w:val="33"/>
    <w:qFormat/>
    <w:uiPriority w:val="0"/>
    <w:pPr>
      <w:numPr>
        <w:ilvl w:val="0"/>
        <w:numId w:val="2"/>
      </w:numPr>
      <w:ind w:left="0" w:firstLine="0"/>
    </w:pPr>
    <w:rPr>
      <w:rFonts w:eastAsia="Calibri" w:cs="Times New Roman"/>
      <w:b/>
      <w:szCs w:val="20"/>
      <w:lang w:val="en-GB"/>
    </w:rPr>
  </w:style>
  <w:style w:type="character" w:customStyle="1" w:styleId="31">
    <w:name w:val="List Paragraph Char"/>
    <w:basedOn w:val="16"/>
    <w:link w:val="24"/>
    <w:qFormat/>
    <w:uiPriority w:val="34"/>
  </w:style>
  <w:style w:type="character" w:customStyle="1" w:styleId="32">
    <w:name w:val="RAN4 Observation Char"/>
    <w:basedOn w:val="31"/>
    <w:link w:val="28"/>
    <w:qFormat/>
    <w:uiPriority w:val="0"/>
    <w:rPr>
      <w:rFonts w:ascii="Times New Roman" w:hAnsi="Times New Roman" w:eastAsia="Calibri" w:cs="Times New Roman"/>
      <w:sz w:val="20"/>
      <w:szCs w:val="20"/>
      <w:lang w:val="en-GB"/>
    </w:rPr>
  </w:style>
  <w:style w:type="character" w:customStyle="1" w:styleId="33">
    <w:name w:val="RAN4 Proposal Char"/>
    <w:basedOn w:val="31"/>
    <w:link w:val="30"/>
    <w:qFormat/>
    <w:uiPriority w:val="0"/>
    <w:rPr>
      <w:rFonts w:ascii="Times New Roman" w:hAnsi="Times New Roman" w:eastAsia="Calibri" w:cs="Times New Roman"/>
      <w:b/>
      <w:sz w:val="20"/>
      <w:szCs w:val="20"/>
      <w:lang w:val="en-GB"/>
    </w:rPr>
  </w:style>
  <w:style w:type="paragraph" w:customStyle="1" w:styleId="34">
    <w:name w:val="RAN4 proposal"/>
    <w:basedOn w:val="8"/>
    <w:next w:val="1"/>
    <w:link w:val="37"/>
    <w:qFormat/>
    <w:uiPriority w:val="0"/>
    <w:pPr>
      <w:numPr>
        <w:ilvl w:val="0"/>
        <w:numId w:val="3"/>
      </w:numPr>
      <w:ind w:left="0" w:firstLine="0"/>
      <w:jc w:val="left"/>
    </w:pPr>
    <w:rPr>
      <w:rFonts w:ascii="Times New Roman" w:hAnsi="Times New Roman"/>
      <w:b/>
      <w:i w:val="0"/>
      <w:sz w:val="22"/>
    </w:rPr>
  </w:style>
  <w:style w:type="paragraph" w:customStyle="1" w:styleId="35">
    <w:name w:val="TOC Heading"/>
    <w:basedOn w:val="2"/>
    <w:next w:val="1"/>
    <w:unhideWhenUsed/>
    <w:qFormat/>
    <w:uiPriority w:val="39"/>
    <w:pPr>
      <w:outlineLvl w:val="9"/>
    </w:pPr>
  </w:style>
  <w:style w:type="character" w:customStyle="1" w:styleId="36">
    <w:name w:val="Caption Char"/>
    <w:basedOn w:val="16"/>
    <w:link w:val="8"/>
    <w:qFormat/>
    <w:uiPriority w:val="35"/>
    <w:rPr>
      <w:rFonts w:ascii="Arial" w:hAnsi="Arial"/>
      <w:i/>
      <w:iCs/>
      <w:sz w:val="18"/>
      <w:szCs w:val="18"/>
    </w:rPr>
  </w:style>
  <w:style w:type="character" w:customStyle="1" w:styleId="37">
    <w:name w:val="RAN4 proposal Char"/>
    <w:basedOn w:val="36"/>
    <w:link w:val="34"/>
    <w:qFormat/>
    <w:uiPriority w:val="0"/>
    <w:rPr>
      <w:rFonts w:ascii="Times New Roman" w:hAnsi="Times New Roman"/>
      <w:b/>
      <w:i w:val="0"/>
      <w:sz w:val="18"/>
      <w:szCs w:val="18"/>
    </w:rPr>
  </w:style>
  <w:style w:type="paragraph" w:customStyle="1" w:styleId="38">
    <w:name w:val="RAN4 observation"/>
    <w:basedOn w:val="28"/>
    <w:next w:val="1"/>
    <w:link w:val="39"/>
    <w:qFormat/>
    <w:uiPriority w:val="0"/>
    <w:pPr>
      <w:ind w:left="0" w:firstLine="0"/>
    </w:pPr>
    <w:rPr>
      <w:sz w:val="22"/>
    </w:rPr>
  </w:style>
  <w:style w:type="character" w:customStyle="1" w:styleId="39">
    <w:name w:val="RAN4 observation Char"/>
    <w:basedOn w:val="32"/>
    <w:link w:val="38"/>
    <w:qFormat/>
    <w:uiPriority w:val="0"/>
    <w:rPr>
      <w:rFonts w:ascii="Times New Roman" w:hAnsi="Times New Roman" w:eastAsia="Calibri" w:cs="Times New Roman"/>
      <w:sz w:val="20"/>
      <w:szCs w:val="20"/>
      <w:lang w:val="en-GB"/>
    </w:rPr>
  </w:style>
  <w:style w:type="character" w:customStyle="1" w:styleId="40">
    <w:name w:val="Unresolved Mention"/>
    <w:basedOn w:val="16"/>
    <w:semiHidden/>
    <w:unhideWhenUsed/>
    <w:qFormat/>
    <w:uiPriority w:val="99"/>
    <w:rPr>
      <w:color w:val="808080"/>
      <w:shd w:val="clear" w:color="auto" w:fill="E6E6E6"/>
    </w:rPr>
  </w:style>
  <w:style w:type="character" w:customStyle="1" w:styleId="41">
    <w:name w:val="Heading 4 Char"/>
    <w:basedOn w:val="16"/>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2">
    <w:name w:val="Doc-text2 Char"/>
    <w:link w:val="43"/>
    <w:qFormat/>
    <w:locked/>
    <w:uiPriority w:val="0"/>
    <w:rPr>
      <w:rFonts w:ascii="Arial" w:hAnsi="Arial" w:eastAsia="Times New Roman" w:cs="Arial"/>
      <w:lang w:val="zh-CN" w:eastAsia="zh-CN"/>
    </w:rPr>
  </w:style>
  <w:style w:type="paragraph" w:customStyle="1" w:styleId="43">
    <w:name w:val="Doc-text2"/>
    <w:basedOn w:val="1"/>
    <w:link w:val="42"/>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4">
    <w:name w:val="Body Text Char"/>
    <w:basedOn w:val="16"/>
    <w:link w:val="9"/>
    <w:semiHidden/>
    <w:qFormat/>
    <w:uiPriority w:val="0"/>
    <w:rPr>
      <w:rFonts w:ascii="Arial" w:hAnsi="Arial"/>
      <w:lang w:val="da-DK" w:eastAsia="zh-CN"/>
    </w:rPr>
  </w:style>
  <w:style w:type="paragraph" w:customStyle="1" w:styleId="45">
    <w:name w:val="Agreement"/>
    <w:basedOn w:val="1"/>
    <w:next w:val="43"/>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6">
    <w:name w:val="TAL"/>
    <w:basedOn w:val="1"/>
    <w:link w:val="47"/>
    <w:qFormat/>
    <w:uiPriority w:val="0"/>
    <w:pPr>
      <w:keepNext/>
      <w:keepLines/>
      <w:spacing w:after="0" w:line="240" w:lineRule="auto"/>
    </w:pPr>
    <w:rPr>
      <w:rFonts w:ascii="Arial" w:hAnsi="Arial" w:eastAsia="Times New Roman" w:cs="Times New Roman"/>
      <w:sz w:val="18"/>
      <w:szCs w:val="20"/>
      <w:lang w:val="en-GB"/>
    </w:rPr>
  </w:style>
  <w:style w:type="character" w:customStyle="1" w:styleId="47">
    <w:name w:val="TAL Char"/>
    <w:link w:val="46"/>
    <w:qFormat/>
    <w:locked/>
    <w:uiPriority w:val="0"/>
    <w:rPr>
      <w:rFonts w:ascii="Arial" w:hAnsi="Arial" w:eastAsia="Times New Roman" w:cs="Times New Roman"/>
      <w:sz w:val="18"/>
      <w:szCs w:val="20"/>
      <w:lang w:val="en-GB"/>
    </w:rPr>
  </w:style>
  <w:style w:type="paragraph" w:customStyle="1" w:styleId="48">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49">
    <w:name w:val="EmailDiscussion"/>
    <w:basedOn w:val="1"/>
    <w:next w:val="1"/>
    <w:link w:val="50"/>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0">
    <w:name w:val="EmailDiscussion Char"/>
    <w:link w:val="49"/>
    <w:qFormat/>
    <w:uiPriority w:val="0"/>
    <w:rPr>
      <w:rFonts w:ascii="Arial" w:hAnsi="Arial" w:eastAsia="MS Mincho" w:cs="Times New Roman"/>
      <w:b/>
      <w:sz w:val="20"/>
      <w:szCs w:val="24"/>
      <w:lang w:val="en-GB" w:eastAsia="en-GB"/>
    </w:rPr>
  </w:style>
  <w:style w:type="character" w:customStyle="1" w:styleId="51">
    <w:name w:val="Header Char"/>
    <w:basedOn w:val="16"/>
    <w:link w:val="12"/>
    <w:semiHidden/>
    <w:qFormat/>
    <w:locked/>
    <w:uiPriority w:val="0"/>
    <w:rPr>
      <w:rFonts w:ascii="Tms Rmn" w:hAnsi="Tms Rmn"/>
      <w:b/>
      <w:sz w:val="18"/>
    </w:rPr>
  </w:style>
  <w:style w:type="character" w:customStyle="1" w:styleId="52">
    <w:name w:val="Header Char1"/>
    <w:basedOn w:val="16"/>
    <w:semiHidden/>
    <w:qFormat/>
    <w:uiPriority w:val="99"/>
    <w:rPr>
      <w:rFonts w:ascii="Times New Roman" w:hAnsi="Times New Roman"/>
      <w:sz w:val="20"/>
    </w:rPr>
  </w:style>
  <w:style w:type="character" w:customStyle="1" w:styleId="53">
    <w:name w:val="Balloon Text Char"/>
    <w:basedOn w:val="16"/>
    <w:link w:val="11"/>
    <w:semiHidden/>
    <w:qFormat/>
    <w:uiPriority w:val="99"/>
    <w:rPr>
      <w:rFonts w:ascii="Segoe UI" w:hAnsi="Segoe UI" w:cs="Segoe UI"/>
      <w:sz w:val="18"/>
      <w:szCs w:val="18"/>
    </w:rPr>
  </w:style>
  <w:style w:type="character" w:customStyle="1" w:styleId="54">
    <w:name w:val="CR Cover Page Zchn"/>
    <w:link w:val="55"/>
    <w:qFormat/>
    <w:locked/>
    <w:uiPriority w:val="0"/>
    <w:rPr>
      <w:rFonts w:ascii="Arial" w:hAnsi="Arial" w:cs="Arial"/>
      <w:lang w:val="en-GB"/>
    </w:rPr>
  </w:style>
  <w:style w:type="paragraph" w:customStyle="1" w:styleId="55">
    <w:name w:val="CR Cover Page"/>
    <w:link w:val="54"/>
    <w:qFormat/>
    <w:uiPriority w:val="0"/>
    <w:pPr>
      <w:spacing w:after="120" w:line="240" w:lineRule="auto"/>
    </w:pPr>
    <w:rPr>
      <w:rFonts w:ascii="Arial" w:hAnsi="Arial" w:cs="Arial" w:eastAsiaTheme="minorHAnsi"/>
      <w:sz w:val="22"/>
      <w:szCs w:val="22"/>
      <w:lang w:val="en-GB" w:eastAsia="en-US" w:bidi="ar-SA"/>
    </w:rPr>
  </w:style>
  <w:style w:type="character" w:customStyle="1" w:styleId="56">
    <w:name w:val="Comment Text Char"/>
    <w:basedOn w:val="16"/>
    <w:link w:val="7"/>
    <w:semiHidden/>
    <w:qFormat/>
    <w:uiPriority w:val="99"/>
    <w:rPr>
      <w:rFonts w:ascii="Times New Roman" w:hAnsi="Times New Roman"/>
      <w:sz w:val="20"/>
      <w:szCs w:val="20"/>
    </w:rPr>
  </w:style>
  <w:style w:type="character" w:customStyle="1" w:styleId="57">
    <w:name w:val="Comment Subject Char"/>
    <w:basedOn w:val="56"/>
    <w:link w:val="6"/>
    <w:semiHidden/>
    <w:qFormat/>
    <w:uiPriority w:val="99"/>
    <w:rPr>
      <w:rFonts w:ascii="Times New Roman" w:hAnsi="Times New Roman"/>
      <w:b/>
      <w:bCs/>
      <w:sz w:val="20"/>
      <w:szCs w:val="20"/>
    </w:rPr>
  </w:style>
  <w:style w:type="paragraph" w:customStyle="1" w:styleId="58">
    <w:name w:val="3GPP Normal Text"/>
    <w:basedOn w:val="9"/>
    <w:link w:val="59"/>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59">
    <w:name w:val="3GPP Normal Text Char"/>
    <w:link w:val="58"/>
    <w:qFormat/>
    <w:uiPriority w:val="0"/>
    <w:rPr>
      <w:rFonts w:ascii="Times New Roman" w:hAnsi="Times New Roman" w:eastAsia="MS Mincho" w:cs="Arial"/>
      <w:sz w:val="20"/>
      <w:szCs w:val="24"/>
    </w:rPr>
  </w:style>
  <w:style w:type="paragraph" w:customStyle="1" w:styleId="60">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1">
    <w:name w:val="TH"/>
    <w:basedOn w:val="1"/>
    <w:qFormat/>
    <w:uiPriority w:val="0"/>
    <w:pPr>
      <w:keepNext/>
      <w:keepLines/>
      <w:spacing w:before="60"/>
      <w:jc w:val="center"/>
    </w:pPr>
    <w:rPr>
      <w:rFonts w:ascii="Arial" w:hAnsi="Arial"/>
      <w:b/>
      <w:lang w:eastAsia="zh-CN"/>
    </w:rPr>
  </w:style>
  <w:style w:type="paragraph" w:customStyle="1" w:styleId="62">
    <w:name w:val="NO"/>
    <w:basedOn w:val="1"/>
    <w:qFormat/>
    <w:uiPriority w:val="0"/>
    <w:pPr>
      <w:keepLines/>
      <w:ind w:left="1135" w:hanging="851"/>
    </w:pPr>
    <w:rPr>
      <w:lang w:eastAsia="zh-CN"/>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08DA32A5-C37F-4DB0-94C0-5301A1F35695}">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8E32C24-5F96-4713-A70F-A7BA20BB6CD6}">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877</Words>
  <Characters>5355</Characters>
  <Lines>44</Lines>
  <Paragraphs>12</Paragraphs>
  <TotalTime>1</TotalTime>
  <ScaleCrop>false</ScaleCrop>
  <LinksUpToDate>false</LinksUpToDate>
  <CharactersWithSpaces>6220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Richie Leo (ZTE)</cp:lastModifiedBy>
  <cp:lastPrinted>2019-04-29T06:52:00Z</cp:lastPrinted>
  <dcterms:modified xsi:type="dcterms:W3CDTF">2019-10-03T12:41:21Z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2052-10.8.2.7027</vt:lpwstr>
  </property>
</Properties>
</file>